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F87B" w14:textId="77777777" w:rsidR="00FA2AE8" w:rsidRP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FA2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Plėtros programos pažangos priemonės</w:t>
      </w:r>
    </w:p>
    <w:p w14:paraId="4DD175CD" w14:textId="77777777" w:rsidR="00FA2AE8" w:rsidRP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FA2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13-007-08-01-01 „Didinti teismų sistemos </w:t>
      </w:r>
    </w:p>
    <w:p w14:paraId="77A1219F" w14:textId="77777777" w:rsidR="00FA2AE8" w:rsidRP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FA2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veiklos organizavimo efektyvumą bei užtikrinti </w:t>
      </w:r>
    </w:p>
    <w:p w14:paraId="7B93BD08" w14:textId="77777777" w:rsidR="00FA2AE8" w:rsidRP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FA2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sąlygas teismų veiklai, plėtoti technologijas“ aprašo </w:t>
      </w:r>
    </w:p>
    <w:p w14:paraId="672A89C8" w14:textId="323BF8F0" w:rsid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FA2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5F01B9BE" w14:textId="77777777" w:rsid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34E584D" w14:textId="77777777" w:rsidR="00FA2AE8" w:rsidRPr="00FA2AE8" w:rsidRDefault="00FA2AE8" w:rsidP="00FA2A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F7A1FF1" w14:textId="489A6BE8" w:rsidR="00130EE2" w:rsidRPr="00E41DAD" w:rsidRDefault="00130EE2" w:rsidP="00130E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STEBĖSENOS RODIKLIO</w:t>
      </w:r>
    </w:p>
    <w:p w14:paraId="2B282317" w14:textId="00494D78" w:rsidR="00130EE2" w:rsidRPr="00306AAB" w:rsidRDefault="00130EE2" w:rsidP="00130E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C11F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TEISĖJŲ, KURIEMS NUSTATYTA SPECIALIZACIJA, DALIS APYLINKĖS TEISMUOSE</w:t>
      </w: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APRAŠYMO KORTELĖ</w:t>
      </w:r>
    </w:p>
    <w:p w14:paraId="3DD6E839" w14:textId="77777777" w:rsidR="00130EE2" w:rsidRPr="00E41DAD" w:rsidRDefault="00130EE2" w:rsidP="00130EE2">
      <w:pPr>
        <w:spacing w:after="0" w:line="240" w:lineRule="auto"/>
        <w:ind w:left="3524"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Ind w:w="-14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4261"/>
        <w:gridCol w:w="4814"/>
      </w:tblGrid>
      <w:tr w:rsidR="00130EE2" w:rsidRPr="00E41DAD" w14:paraId="7C3B0B8C" w14:textId="77777777" w:rsidTr="006339DA">
        <w:trPr>
          <w:tblHeader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9564" w14:textId="77777777" w:rsidR="00130EE2" w:rsidRPr="00E41DAD" w:rsidRDefault="00130EE2" w:rsidP="006339D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13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107E" w14:textId="77777777" w:rsidR="00130EE2" w:rsidRPr="00E41DAD" w:rsidRDefault="00130EE2" w:rsidP="006339D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Elementai</w:t>
            </w:r>
          </w:p>
        </w:tc>
        <w:tc>
          <w:tcPr>
            <w:tcW w:w="2500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492A7" w14:textId="77777777" w:rsidR="00130EE2" w:rsidRPr="00E41DAD" w:rsidRDefault="00130EE2" w:rsidP="006339D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Kodai, pavadinimai ir aprašymas</w:t>
            </w:r>
          </w:p>
        </w:tc>
      </w:tr>
      <w:tr w:rsidR="00130EE2" w:rsidRPr="00E41DAD" w14:paraId="5B618AD5" w14:textId="77777777" w:rsidTr="006339DA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F5DF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310CD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8696E" w14:textId="48939673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C11F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Teisėjų, kuriems nustatyta specializacija, dalis apylinkės teismuose </w:t>
            </w:r>
            <w:r w:rsidR="003C08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30EE2" w:rsidRPr="00E41DAD" w14:paraId="75E61406" w14:textId="77777777" w:rsidTr="006339DA">
        <w:trPr>
          <w:trHeight w:val="311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0078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6D56E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6D4FF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</w:tr>
      <w:tr w:rsidR="00130EE2" w:rsidRPr="00E41DAD" w14:paraId="07E31017" w14:textId="77777777" w:rsidTr="006339DA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1EC5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83751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10C4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Didėjimas</w:t>
            </w:r>
          </w:p>
        </w:tc>
      </w:tr>
      <w:tr w:rsidR="00130EE2" w:rsidRPr="00E41DAD" w14:paraId="0741325E" w14:textId="77777777" w:rsidTr="006339DA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F083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3A73C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373E1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Skaitinė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reikšmė</w:t>
            </w:r>
          </w:p>
        </w:tc>
      </w:tr>
      <w:tr w:rsidR="00130EE2" w:rsidRPr="00E41DAD" w14:paraId="5F66FD35" w14:textId="77777777" w:rsidTr="006339DA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964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D68D8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BCF27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</w:t>
            </w:r>
          </w:p>
        </w:tc>
      </w:tr>
      <w:tr w:rsidR="00130EE2" w:rsidRPr="00E41DAD" w14:paraId="17A8CF85" w14:textId="77777777" w:rsidTr="006339DA">
        <w:trPr>
          <w:trHeight w:val="31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C5A1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67021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7623" w14:textId="6CF24D3F" w:rsidR="00130EE2" w:rsidRPr="00C11FF0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R-13-00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-08-01-0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EE2" w:rsidRPr="00E41DAD" w14:paraId="57E26B74" w14:textId="77777777" w:rsidTr="006339DA">
        <w:trPr>
          <w:trHeight w:val="54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DAA3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97754" w14:textId="77777777" w:rsidR="00130EE2" w:rsidRPr="00E41DAD" w:rsidRDefault="00130EE2" w:rsidP="006339DA">
            <w:pPr>
              <w:widowControl w:val="0"/>
              <w:tabs>
                <w:tab w:val="left" w:pos="10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3C2BB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Netaikoma</w:t>
            </w:r>
          </w:p>
        </w:tc>
      </w:tr>
      <w:tr w:rsidR="00130EE2" w:rsidRPr="00E41DAD" w14:paraId="35C9DB8E" w14:textId="77777777" w:rsidTr="006339DA">
        <w:trPr>
          <w:trHeight w:val="565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3428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AB566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paaiškinimas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sąvokų apibrėžtys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E0637" w14:textId="70D55239" w:rsidR="00130EE2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Stebėsenos rodikliu vertinam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FF0">
              <w:rPr>
                <w:rFonts w:ascii="Times New Roman" w:hAnsi="Times New Roman" w:cs="Times New Roman"/>
                <w:sz w:val="24"/>
                <w:szCs w:val="24"/>
              </w:rPr>
              <w:t>apylinkių teismų teisėjai, kuriems ataskaitiniu laikotarpiu buvo nustatyta baudžiamųjų</w:t>
            </w:r>
            <w:r w:rsidR="004520DA">
              <w:rPr>
                <w:rFonts w:ascii="Times New Roman" w:hAnsi="Times New Roman" w:cs="Times New Roman"/>
                <w:sz w:val="24"/>
                <w:szCs w:val="24"/>
              </w:rPr>
              <w:t xml:space="preserve"> (įskaitant ir administracinių nusižengimų)</w:t>
            </w:r>
            <w:r w:rsidRPr="00C11FF0">
              <w:rPr>
                <w:rFonts w:ascii="Times New Roman" w:hAnsi="Times New Roman" w:cs="Times New Roman"/>
                <w:sz w:val="24"/>
                <w:szCs w:val="24"/>
              </w:rPr>
              <w:t>, civilinių bylų ar ikiteisminio tyrimo teisėjo specializacija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1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11EB5" w14:textId="77777777" w:rsidR="00130EE2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Civilinė byla – </w:t>
            </w:r>
            <w:r w:rsidRPr="000E20A0">
              <w:rPr>
                <w:rFonts w:ascii="Times New Roman" w:hAnsi="Times New Roman" w:cs="Times New Roman"/>
                <w:sz w:val="24"/>
                <w:szCs w:val="24"/>
              </w:rPr>
              <w:t>individualus civilinis procesas, nagrinėjamas teisme civilinio proceso teisės normų nustatyta tvarka.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Civilinėms byloms priskiriamos bylos apibrėžtos LR civilinio proceso kodekse.</w:t>
            </w:r>
          </w:p>
          <w:p w14:paraId="0353DE79" w14:textId="77777777" w:rsidR="00130EE2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Baudžiamoji byla – individualus baudžiamasis procesas,</w:t>
            </w:r>
            <w:r>
              <w:t xml:space="preserve"> </w:t>
            </w:r>
            <w:r w:rsidRPr="004A2243">
              <w:rPr>
                <w:rFonts w:ascii="Times New Roman" w:hAnsi="Times New Roman" w:cs="Times New Roman"/>
                <w:sz w:val="24"/>
                <w:szCs w:val="24"/>
              </w:rPr>
              <w:t>esant baudžiamosios veikos požymiams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862D3" w14:textId="1E68BDE4" w:rsidR="00BC7C6F" w:rsidRDefault="00BC7C6F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Administracinių nusižengimų byla – </w:t>
            </w:r>
            <w:r w:rsidR="00991B57" w:rsidRPr="00991B57">
              <w:rPr>
                <w:rFonts w:ascii="Times New Roman" w:hAnsi="Times New Roman" w:cs="Times New Roman"/>
                <w:sz w:val="24"/>
                <w:szCs w:val="24"/>
              </w:rPr>
              <w:t xml:space="preserve">tai procesas, kuriame nagrinėjami administracinės teisės pažeidimai ir sprendžiama dėl asmens atsakomybės pagal </w:t>
            </w:r>
            <w:r w:rsidR="00991B57">
              <w:rPr>
                <w:rFonts w:ascii="Times New Roman" w:hAnsi="Times New Roman" w:cs="Times New Roman"/>
                <w:sz w:val="24"/>
                <w:szCs w:val="24"/>
              </w:rPr>
              <w:t xml:space="preserve">LR </w:t>
            </w:r>
            <w:r w:rsidR="00991B57" w:rsidRPr="00991B57">
              <w:rPr>
                <w:rFonts w:ascii="Times New Roman" w:hAnsi="Times New Roman" w:cs="Times New Roman"/>
                <w:sz w:val="24"/>
                <w:szCs w:val="24"/>
              </w:rPr>
              <w:t>Administracinių nusižengimų kodeksą</w:t>
            </w:r>
            <w:r w:rsidR="00A61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A1EDC" w14:textId="77777777" w:rsidR="00130EE2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D2">
              <w:rPr>
                <w:rFonts w:ascii="Times New Roman" w:hAnsi="Times New Roman" w:cs="Times New Roman"/>
                <w:sz w:val="24"/>
                <w:szCs w:val="24"/>
              </w:rPr>
              <w:t>Ikiteisminio tyrimo teisėjas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C7BD2">
              <w:rPr>
                <w:rFonts w:ascii="Times New Roman" w:hAnsi="Times New Roman" w:cs="Times New Roman"/>
                <w:sz w:val="24"/>
                <w:szCs w:val="24"/>
              </w:rPr>
              <w:t xml:space="preserve"> apylinkės teismo </w:t>
            </w:r>
            <w:r w:rsidRPr="008C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teisėjas, apylinkės teismo pirmininko paskirtas atlikti įstatymų numatytus proceso veiksmus bei priimti sprendimus.</w:t>
            </w:r>
          </w:p>
          <w:p w14:paraId="1A8A8221" w14:textId="1A411669" w:rsidR="00130EE2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Specializacija – darbo pasidalijimo forma, kai asmuo sutelkia savo veiklą į vieną </w:t>
            </w:r>
            <w:r w:rsidR="002F02D5">
              <w:rPr>
                <w:rFonts w:ascii="Times New Roman" w:hAnsi="Times New Roman" w:cs="Times New Roman"/>
                <w:sz w:val="24"/>
                <w:szCs w:val="24"/>
              </w:rPr>
              <w:t xml:space="preserve">ar kelias </w:t>
            </w:r>
            <w:r w:rsidR="00455206">
              <w:rPr>
                <w:rFonts w:ascii="Times New Roman" w:hAnsi="Times New Roman" w:cs="Times New Roman"/>
                <w:sz w:val="24"/>
                <w:szCs w:val="24"/>
              </w:rPr>
              <w:t>pagrindin</w:t>
            </w:r>
            <w:r w:rsidR="002F02D5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455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srit</w:t>
            </w:r>
            <w:r w:rsidR="002F02D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EBD88" w14:textId="5C20E226" w:rsidR="00CA5582" w:rsidRPr="00CA5582" w:rsidRDefault="00CA5582" w:rsidP="00CA55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Apylinkės teismas – 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emiausios grandies bendrosios kompetencijos teismas Lietuvoje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pirmoji instancija civilin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ms, baud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iamosioms ir kai kurioms </w:t>
            </w:r>
            <w:r w:rsidR="001D72D3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administracin</w:t>
            </w:r>
            <w:r w:rsidR="001D72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ių nusižengimų</w:t>
            </w:r>
            <w:r w:rsidR="001D72D3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byloms, skundams d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 ikiteisminio tyrimo pareig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ū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 ar prokuroro veiksm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byloms, susijusioms su sprendim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nuosprend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vykdymu.</w:t>
            </w:r>
            <w:r w:rsidR="000711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 teismų įsteigimas, jų struktūros ir buveinės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o t. p.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teismo rūmų veiklos teritorijos nustatytos Lietuvos Respublikos apylinkių teismų įsteigimo ir jų veiklos teritorijų nustatymo įstatym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130EE2" w:rsidRPr="00E41DAD" w14:paraId="537B6854" w14:textId="77777777" w:rsidTr="006339DA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A590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44A06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reikšmės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skaičiavimo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89150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Įvedamasis </w:t>
            </w:r>
          </w:p>
        </w:tc>
      </w:tr>
      <w:tr w:rsidR="00130EE2" w:rsidRPr="00E41DAD" w14:paraId="42F5F585" w14:textId="77777777" w:rsidTr="006339DA">
        <w:trPr>
          <w:trHeight w:val="1010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362F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1707A" w14:textId="77777777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reikšmės apskaičiavimo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4FC7E" w14:textId="02237011" w:rsidR="00130EE2" w:rsidRDefault="00130EE2" w:rsidP="006339DA">
            <w:pPr>
              <w:widowControl w:val="0"/>
              <w:spacing w:before="60" w:after="6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Vertinam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i </w:t>
            </w:r>
            <w:r w:rsidRPr="001125D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apylinkių teismų teisėjai, kuriems ataskaitiniu laikotarpiu buvo nustatyta baudžiamųjų</w:t>
            </w:r>
            <w:r w:rsidR="004520DA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(įskaitant ir </w:t>
            </w:r>
            <w:r w:rsidRPr="001125D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administracinių nusižengimų</w:t>
            </w:r>
            <w:r w:rsidR="004520DA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)</w:t>
            </w:r>
            <w:r w:rsidRPr="001125D8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, civilinių bylų ar ikiteisminio tyrimo teisėjo specializacija </w:t>
            </w: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nuo visų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apylinkių teismų teisėjų</w:t>
            </w: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0B675780" w14:textId="3B2EB80D" w:rsidR="00130EE2" w:rsidRPr="004520DA" w:rsidRDefault="00000000" w:rsidP="006339DA">
            <w:pPr>
              <w:widowControl w:val="0"/>
              <w:spacing w:before="60" w:after="6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Spec.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*100</m:t>
                </m:r>
              </m:oMath>
            </m:oMathPara>
          </w:p>
          <w:p w14:paraId="1694884B" w14:textId="77777777" w:rsidR="00130EE2" w:rsidRPr="00E41DAD" w:rsidRDefault="00130EE2" w:rsidP="006339D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3D60F6" w14:textId="149A22C0" w:rsidR="00130EE2" w:rsidRPr="00E41DAD" w:rsidRDefault="00130EE2" w:rsidP="006339D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X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</w:t>
            </w:r>
            <w:r w:rsidRPr="00E41DA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apylinkių teismų teisėjai, kuriems ataskaitiniu laikotarpiu buvo nustatyta baudžiamųjų</w:t>
            </w:r>
            <w:r w:rsidR="004520D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(įskaitant ir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administracinių nusižengimų</w:t>
            </w:r>
            <w:r w:rsidR="004520D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civilinių bylų ar ikiteisminio tyrimo teisėjo specializacija nuo visų apylinkių teismų teisėjų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procentas; </w:t>
            </w:r>
          </w:p>
          <w:p w14:paraId="5CBDB4A7" w14:textId="34FD7A42" w:rsidR="00130EE2" w:rsidRPr="00E41DAD" w:rsidRDefault="00130EE2" w:rsidP="006339D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Spec.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apylinkių teismų teisėjai, kuriems ataskaitiniu laikotarpiu buvo nustatyta baudžiamųjų</w:t>
            </w:r>
            <w:r w:rsidR="004520D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(įskaitant ir 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administracinių nusižengimų</w:t>
            </w:r>
            <w:r w:rsidR="004520D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civilinių bylų ar ikiteisminio tyrimo teisėjo specializacija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skaičius;</w:t>
            </w:r>
          </w:p>
          <w:p w14:paraId="74C84B19" w14:textId="77777777" w:rsidR="00130EE2" w:rsidRPr="00E41DAD" w:rsidRDefault="00130EE2" w:rsidP="006339D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</w:t>
            </w:r>
            <w:r w:rsidRPr="001125D8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apylinkių teismų teisėjų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skaičius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</w:tr>
      <w:tr w:rsidR="00130EE2" w:rsidRPr="00E41DAD" w14:paraId="09343946" w14:textId="77777777" w:rsidTr="006339DA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B778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373B9" w14:textId="77777777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duomenų šaltini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B673C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125D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eisėjų ir pretendentų į teisėjus informacinės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sistemos duomenys.</w:t>
            </w:r>
          </w:p>
        </w:tc>
      </w:tr>
      <w:tr w:rsidR="00130EE2" w:rsidRPr="00E41DAD" w14:paraId="5C2521A5" w14:textId="77777777" w:rsidTr="006339DA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E90E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A8186" w14:textId="77777777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7B770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00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Rodiklis skaičiuojamas ir fiksuojamas vieną kartą per metus už praėjusius kalendorinius metus. Rodiklio skaičiavimo data – vasario mėn.  </w:t>
            </w:r>
          </w:p>
        </w:tc>
      </w:tr>
      <w:tr w:rsidR="00130EE2" w:rsidRPr="00E41DAD" w14:paraId="52710048" w14:textId="77777777" w:rsidTr="006339DA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AE9B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F26DB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28265" w14:textId="77777777" w:rsidR="00130EE2" w:rsidRPr="00A64EDA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rodiklis laikomas pasiektu projekto veiklų įgyvendinimo pabaigoje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pridavus ir patvirtinus projekto galutinį mokėjimo prašymą.</w:t>
            </w:r>
          </w:p>
        </w:tc>
      </w:tr>
      <w:tr w:rsidR="00130EE2" w:rsidRPr="00E41DAD" w14:paraId="79E6BDD8" w14:textId="77777777" w:rsidTr="006339DA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4AEB6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F5848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 stebėsenos rodiklį atsakinga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A85AA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Nacionalinė teismų administracija</w:t>
            </w:r>
          </w:p>
        </w:tc>
      </w:tr>
      <w:tr w:rsidR="00130EE2" w:rsidRPr="00E41DAD" w14:paraId="517C2BD9" w14:textId="77777777" w:rsidTr="006339DA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E07AC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9233B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96ECB" w14:textId="5CE8E4B8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30EE2">
              <w:rPr>
                <w:rFonts w:ascii="Times New Roman" w:hAnsi="Times New Roman" w:cs="Times New Roman"/>
                <w:sz w:val="24"/>
                <w:szCs w:val="24"/>
              </w:rPr>
              <w:t xml:space="preserve">Teismų veiklos skyrius,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+370 5 251 4116.</w:t>
            </w:r>
          </w:p>
        </w:tc>
      </w:tr>
      <w:tr w:rsidR="00130EE2" w:rsidRPr="00E41DAD" w14:paraId="0089A2D3" w14:textId="77777777" w:rsidTr="006339DA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B1653" w14:textId="77777777" w:rsidR="00130EE2" w:rsidRPr="00E41DAD" w:rsidRDefault="00130EE2" w:rsidP="00633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4369B" w14:textId="77777777" w:rsidR="00130EE2" w:rsidRPr="00E41DAD" w:rsidRDefault="00130EE2" w:rsidP="006339D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svarbi informacija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FCAF2" w14:textId="77777777" w:rsidR="00130EE2" w:rsidRPr="00E41DAD" w:rsidRDefault="00130EE2" w:rsidP="006339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730B7753" w14:textId="77777777" w:rsidR="00130EE2" w:rsidRDefault="00130EE2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EFE865B" w14:textId="77777777" w:rsidR="00130EE2" w:rsidRDefault="00130EE2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4AF8AB5B" w14:textId="77777777" w:rsidR="00130EE2" w:rsidRDefault="00130EE2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6B4071E3" w14:textId="77777777" w:rsidR="00130EE2" w:rsidRDefault="00130EE2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1F46D322" w14:textId="77777777" w:rsidR="00130EE2" w:rsidRDefault="00130EE2" w:rsidP="00130EE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7AED2A23" w14:textId="2722FB2A" w:rsidR="00CA5582" w:rsidRDefault="00CA558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br w:type="page"/>
      </w:r>
    </w:p>
    <w:p w14:paraId="42F85B92" w14:textId="7B1E89AD" w:rsidR="00E40FAA" w:rsidRPr="00E41DAD" w:rsidRDefault="00E40FAA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lastRenderedPageBreak/>
        <w:t>STEBĖSENOS RODIKLIO</w:t>
      </w:r>
    </w:p>
    <w:p w14:paraId="5249452A" w14:textId="40A4BEF0" w:rsidR="005C1E10" w:rsidRPr="00130EE2" w:rsidRDefault="00E40FAA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„CIVILINIŲ ELEKTRONINIŲ BYLŲ DALIS NUO VISŲ BYLŲ I INSTANCIJOS TEISMUOSE</w:t>
      </w:r>
      <w:r w:rsidR="004108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SKAIČIAUS</w:t>
      </w: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APRAŠYMO KORTELĖ</w:t>
      </w:r>
    </w:p>
    <w:p w14:paraId="1591E94F" w14:textId="77777777" w:rsidR="00E40FAA" w:rsidRPr="00E41DAD" w:rsidRDefault="00E40FAA" w:rsidP="005C1E10">
      <w:pPr>
        <w:spacing w:after="0" w:line="240" w:lineRule="auto"/>
        <w:ind w:left="3524" w:firstLine="12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Ind w:w="-14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4261"/>
        <w:gridCol w:w="4814"/>
      </w:tblGrid>
      <w:tr w:rsidR="00E40FAA" w:rsidRPr="00E41DAD" w14:paraId="52859594" w14:textId="77777777" w:rsidTr="00806DF1">
        <w:trPr>
          <w:tblHeader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191C" w14:textId="77777777" w:rsidR="00E40FAA" w:rsidRPr="00E41DAD" w:rsidRDefault="00E40FAA" w:rsidP="00ED463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13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D2FD8" w14:textId="77777777" w:rsidR="00E40FAA" w:rsidRPr="00E41DAD" w:rsidRDefault="00E40FAA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Elementai</w:t>
            </w:r>
          </w:p>
        </w:tc>
        <w:tc>
          <w:tcPr>
            <w:tcW w:w="2500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6827" w14:textId="77777777" w:rsidR="00E40FAA" w:rsidRPr="00E41DAD" w:rsidRDefault="00E40FAA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Kodai, pavadinimai ir aprašymas</w:t>
            </w:r>
          </w:p>
        </w:tc>
      </w:tr>
      <w:tr w:rsidR="00E40FAA" w:rsidRPr="00E41DAD" w14:paraId="2F25A053" w14:textId="77777777" w:rsidTr="00ED4637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40E1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DEA14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9E227" w14:textId="4B47BB34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Civilinių elektroninių bylų dalis nuo visų bylų I instancijos teismuose</w:t>
            </w:r>
            <w:r w:rsidR="00EF3B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skaičiaus</w:t>
            </w:r>
          </w:p>
        </w:tc>
      </w:tr>
      <w:tr w:rsidR="00E40FAA" w:rsidRPr="00E41DAD" w14:paraId="6C3A3234" w14:textId="77777777" w:rsidTr="00ED4637">
        <w:trPr>
          <w:trHeight w:val="311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65CB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420E30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7216E" w14:textId="60B54D08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Procenta</w:t>
            </w:r>
            <w:r w:rsidR="001A119C" w:rsidRPr="00E41D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40FAA" w:rsidRPr="00E41DAD" w14:paraId="165AD771" w14:textId="77777777" w:rsidTr="00ED4637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EC68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DFA78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E9945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Didėjimas</w:t>
            </w:r>
          </w:p>
        </w:tc>
      </w:tr>
      <w:tr w:rsidR="00E40FAA" w:rsidRPr="00E41DAD" w14:paraId="66151572" w14:textId="77777777" w:rsidTr="00ED4637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C8B1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B0272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9A894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Skaitinė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reikšmė</w:t>
            </w:r>
          </w:p>
        </w:tc>
      </w:tr>
      <w:tr w:rsidR="00E40FAA" w:rsidRPr="00E41DAD" w14:paraId="3EAF0806" w14:textId="77777777" w:rsidTr="00ED4637">
        <w:trPr>
          <w:trHeight w:val="35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B4E4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C800B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91171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</w:t>
            </w:r>
          </w:p>
        </w:tc>
      </w:tr>
      <w:tr w:rsidR="00E40FAA" w:rsidRPr="00E41DAD" w14:paraId="07F1B158" w14:textId="77777777" w:rsidTr="00ED4637">
        <w:trPr>
          <w:trHeight w:val="31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9E47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BEA4D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86404" w14:textId="49891676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R-13-00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-08-01-0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FAA" w:rsidRPr="00E41DAD" w14:paraId="64B0B0D0" w14:textId="77777777" w:rsidTr="00ED4637">
        <w:trPr>
          <w:trHeight w:val="549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1FCF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A33CD" w14:textId="77777777" w:rsidR="00E40FAA" w:rsidRPr="00E41DAD" w:rsidRDefault="00E40FAA" w:rsidP="004B068A">
            <w:pPr>
              <w:widowControl w:val="0"/>
              <w:tabs>
                <w:tab w:val="left" w:pos="10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1ECA7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Netaikoma</w:t>
            </w:r>
          </w:p>
        </w:tc>
      </w:tr>
      <w:tr w:rsidR="00E40FAA" w:rsidRPr="00E41DAD" w14:paraId="69005FD4" w14:textId="77777777" w:rsidTr="00ED4637">
        <w:trPr>
          <w:trHeight w:val="565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F5D9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38150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paaiškinimas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sąvokų apibrėžtys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3AF69" w14:textId="77777777" w:rsidR="006E77BB" w:rsidRDefault="00BD2365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Stebėsenos rodikliu vertinama, kokia dalis Civilinių bylų I instancijos teismuose yra išnagrinėta elektronin</w:t>
            </w:r>
            <w:r w:rsidR="006E77BB"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e forma. </w:t>
            </w:r>
          </w:p>
          <w:p w14:paraId="7F6FB920" w14:textId="3A547829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Civilinė byla – </w:t>
            </w:r>
            <w:r w:rsidR="000E20A0" w:rsidRPr="000E20A0">
              <w:rPr>
                <w:rFonts w:ascii="Times New Roman" w:hAnsi="Times New Roman" w:cs="Times New Roman"/>
                <w:sz w:val="24"/>
                <w:szCs w:val="24"/>
              </w:rPr>
              <w:t>individualus civilinis procesas, nagrinėjamas teisme civilinio proceso teisės normų nustatyta tvarka.</w:t>
            </w:r>
            <w:r w:rsidR="000E20A0">
              <w:rPr>
                <w:rFonts w:ascii="Times New Roman" w:hAnsi="Times New Roman" w:cs="Times New Roman"/>
                <w:sz w:val="24"/>
                <w:szCs w:val="24"/>
              </w:rPr>
              <w:t xml:space="preserve"> Civilinėms byloms priskiriamos bylos apibrėžtos LR civilinio proceso kodekse.</w:t>
            </w:r>
          </w:p>
          <w:p w14:paraId="017165B8" w14:textId="63A4F03E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Elektroninė byla – </w:t>
            </w:r>
            <w:r w:rsidR="00BF45E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F45E1" w:rsidRPr="00BF45E1">
              <w:rPr>
                <w:rFonts w:ascii="Times New Roman" w:hAnsi="Times New Roman" w:cs="Times New Roman"/>
                <w:sz w:val="24"/>
                <w:szCs w:val="24"/>
              </w:rPr>
              <w:t>ylos ir su teismo procesu susijusi informacija tvarkom</w:t>
            </w:r>
            <w:r w:rsidR="00BF45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45E1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elektronine forma</w:t>
            </w:r>
            <w:r w:rsidR="00BF45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5E1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5E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F45E1" w:rsidRPr="00BF45E1">
              <w:rPr>
                <w:rFonts w:ascii="Times New Roman" w:hAnsi="Times New Roman" w:cs="Times New Roman"/>
                <w:sz w:val="24"/>
                <w:szCs w:val="24"/>
              </w:rPr>
              <w:t>ai vedama elektroninė byla, teismų gaunama ir siunčiama rašytinės formos informacija yra skaitmeninama</w:t>
            </w:r>
            <w:r w:rsidR="004009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09E4" w:rsidRPr="004009E4">
              <w:rPr>
                <w:rFonts w:ascii="Times New Roman" w:hAnsi="Times New Roman" w:cs="Times New Roman"/>
                <w:sz w:val="24"/>
                <w:szCs w:val="24"/>
              </w:rPr>
              <w:t>Su teismo proceso bylomis susiję elektroniniai duomenys teismuose yra tvarkomi, įtraukiami į apskaitą ir saugomi naudojant informacines ir elektroninių ryšių technologijas</w:t>
            </w:r>
            <w:r w:rsidR="0040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AFBEE" w14:textId="22D18856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instancijos teismai</w:t>
            </w:r>
            <w:r w:rsidR="000711AC">
              <w:rPr>
                <w:rFonts w:ascii="Times New Roman" w:hAnsi="Times New Roman" w:cs="Times New Roman"/>
                <w:sz w:val="24"/>
                <w:szCs w:val="24"/>
              </w:rPr>
              <w:t xml:space="preserve"> civilinė</w:t>
            </w:r>
            <w:r w:rsidR="00CB373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0711AC">
              <w:rPr>
                <w:rFonts w:ascii="Times New Roman" w:hAnsi="Times New Roman" w:cs="Times New Roman"/>
                <w:sz w:val="24"/>
                <w:szCs w:val="24"/>
              </w:rPr>
              <w:t xml:space="preserve"> bylo</w:t>
            </w:r>
            <w:r w:rsidR="00CB3732">
              <w:rPr>
                <w:rFonts w:ascii="Times New Roman" w:hAnsi="Times New Roman" w:cs="Times New Roman"/>
                <w:sz w:val="24"/>
                <w:szCs w:val="24"/>
              </w:rPr>
              <w:t>ms nagrinėti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009E4">
              <w:rPr>
                <w:rFonts w:ascii="Times New Roman" w:hAnsi="Times New Roman" w:cs="Times New Roman"/>
                <w:sz w:val="24"/>
                <w:szCs w:val="24"/>
              </w:rPr>
              <w:t>apylinkės teismai, apygardos teismai (kaip apibrėžta LR teismų įstatyme).</w:t>
            </w:r>
          </w:p>
          <w:p w14:paraId="5CD4C116" w14:textId="6C79606C" w:rsidR="00362F82" w:rsidRPr="00E41DAD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AA" w:rsidRPr="00E41DAD" w14:paraId="36B42565" w14:textId="77777777" w:rsidTr="00ED4637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2500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D5ACD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reikšmės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skaičiavimo tipas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1303C" w14:textId="5E6F2500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Įvedamasis </w:t>
            </w:r>
          </w:p>
        </w:tc>
      </w:tr>
      <w:tr w:rsidR="00E40FAA" w:rsidRPr="00E41DAD" w14:paraId="0B14E825" w14:textId="77777777" w:rsidTr="00ED4637">
        <w:trPr>
          <w:trHeight w:val="1010"/>
        </w:trPr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64FD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E1AD3" w14:textId="77777777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reikšmės apskaičiavimo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metodas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6A8C3" w14:textId="2ACDAD51" w:rsidR="00E40FAA" w:rsidRPr="00E41DAD" w:rsidRDefault="00E40FAA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Vertinama elektronine forma </w:t>
            </w:r>
            <w:r w:rsidR="001B5B3F"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išnagrinėtų civilinių bylų procentinė dalis nuo visų išnagrinėtų civilinių bylų I instancijos teismuose. </w:t>
            </w:r>
          </w:p>
          <w:p w14:paraId="23DB9007" w14:textId="65B5E18B" w:rsidR="001B5B3F" w:rsidRPr="00E41DAD" w:rsidRDefault="001B5B3F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X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=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(CB el.) /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(CB) × 100</w:t>
            </w:r>
          </w:p>
          <w:p w14:paraId="3931333C" w14:textId="77777777" w:rsidR="001B5B3F" w:rsidRPr="00E41DAD" w:rsidRDefault="001B5B3F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8764B5" w14:textId="490E094F" w:rsidR="001B5B3F" w:rsidRPr="00E41DAD" w:rsidRDefault="001B5B3F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X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</w:t>
            </w:r>
            <w:r w:rsidRPr="00E41DA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išnagrinėtų civilinių elektroninių bylų dalis I instancijos teismuose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nuo 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visų išnagrinėtų civilinių bylų I instancijos teismuose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procentais; </w:t>
            </w:r>
          </w:p>
          <w:p w14:paraId="782F3A68" w14:textId="7FAE7B6F" w:rsidR="001B5B3F" w:rsidRPr="00E41DAD" w:rsidRDefault="001B5B3F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CB el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išnagrinėtos civilinės elektroninės bylos I instancijos teismuose, skaičius vnt.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;</w:t>
            </w:r>
          </w:p>
          <w:p w14:paraId="0BC7CD1F" w14:textId="60589DDB" w:rsidR="00E40FAA" w:rsidRPr="00E41DAD" w:rsidRDefault="001B5B3F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CB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BD2365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metais išnagrinėtos civilinės bylos I instancijos teismuose, skaičius vnt.</w:t>
            </w:r>
          </w:p>
        </w:tc>
      </w:tr>
      <w:tr w:rsidR="00E40FAA" w:rsidRPr="00E41DAD" w14:paraId="18B22055" w14:textId="77777777" w:rsidTr="00ED4637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8AAA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67093" w14:textId="77777777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duomenų šaltini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9A8EB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Lietuvos teismų informacinės sistemos duomenys.</w:t>
            </w:r>
          </w:p>
        </w:tc>
      </w:tr>
      <w:tr w:rsidR="00E40FAA" w:rsidRPr="00E41DAD" w14:paraId="394F89EA" w14:textId="77777777" w:rsidTr="00ED4637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1202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281E2" w14:textId="77777777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DACEA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00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Rodiklis skaičiuojamas ir fiksuojamas vieną kartą per metus už praėjusius kalendorinius metus. Rodiklio skaičiavimo data – vasario mėn.  </w:t>
            </w:r>
          </w:p>
        </w:tc>
      </w:tr>
      <w:tr w:rsidR="00E40FAA" w:rsidRPr="00E41DAD" w14:paraId="1D7E9DC1" w14:textId="77777777" w:rsidTr="00ED4637">
        <w:tc>
          <w:tcPr>
            <w:tcW w:w="287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A80E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DF6F5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7CE9F" w14:textId="68EB6583" w:rsidR="00A64EDA" w:rsidRPr="00A64EDA" w:rsidRDefault="00600AB7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rodiklis laikomas pasiektu projekto veiklų įgyvendinimo pabaigoje</w:t>
            </w:r>
            <w:r w:rsidR="00DB1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pridavus ir patvirtinus projekto galutinį mokėjimo prašymą.</w:t>
            </w:r>
          </w:p>
        </w:tc>
      </w:tr>
      <w:tr w:rsidR="00E40FAA" w:rsidRPr="00E41DAD" w14:paraId="55165147" w14:textId="77777777" w:rsidTr="00ED4637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6AF7C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6EEA0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 stebėsenos rodiklį atsakinga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D745F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Nacionalinė teismų administracija</w:t>
            </w:r>
          </w:p>
        </w:tc>
      </w:tr>
      <w:tr w:rsidR="00E40FAA" w:rsidRPr="00E41DAD" w14:paraId="60C1E74A" w14:textId="77777777" w:rsidTr="00ED4637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8F8DE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041F4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EF74C" w14:textId="61200204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Teismų veiklos skyrius, tel. </w:t>
            </w:r>
            <w:r w:rsidR="00BE5D62"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+370 5 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251 4116.</w:t>
            </w:r>
          </w:p>
        </w:tc>
      </w:tr>
      <w:tr w:rsidR="00E40FAA" w:rsidRPr="00E41DAD" w14:paraId="4BA5C229" w14:textId="77777777" w:rsidTr="00ED4637">
        <w:tc>
          <w:tcPr>
            <w:tcW w:w="287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2E312" w14:textId="77777777" w:rsidR="00E40FAA" w:rsidRPr="00E41DAD" w:rsidRDefault="00E40FAA" w:rsidP="00811F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DCD34" w14:textId="77777777" w:rsidR="00E40FAA" w:rsidRPr="00E41DAD" w:rsidRDefault="00E40FAA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svarbi informacija</w:t>
            </w:r>
          </w:p>
        </w:tc>
        <w:tc>
          <w:tcPr>
            <w:tcW w:w="250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62F69" w14:textId="77777777" w:rsidR="00E40FAA" w:rsidRPr="00E41DAD" w:rsidRDefault="00E40FA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7B9664EA" w14:textId="77777777" w:rsidR="00BD2365" w:rsidRPr="00E41DAD" w:rsidRDefault="00BD2365" w:rsidP="005C1E10">
      <w:pPr>
        <w:spacing w:after="0" w:line="254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p w14:paraId="4ACE7C3B" w14:textId="4506E622" w:rsidR="00806DF1" w:rsidRPr="00E41DAD" w:rsidRDefault="00806DF1" w:rsidP="00806DF1">
      <w:pPr>
        <w:rPr>
          <w:rFonts w:ascii="Times New Roman" w:hAnsi="Times New Roman" w:cs="Times New Roman"/>
          <w:lang w:eastAsia="lt-LT"/>
        </w:rPr>
      </w:pPr>
      <w:r w:rsidRPr="00E41DAD">
        <w:rPr>
          <w:rFonts w:ascii="Times New Roman" w:hAnsi="Times New Roman" w:cs="Times New Roman"/>
          <w:lang w:eastAsia="lt-LT"/>
        </w:rPr>
        <w:br w:type="page"/>
      </w:r>
    </w:p>
    <w:p w14:paraId="75CFF0DE" w14:textId="77777777" w:rsidR="00006EF9" w:rsidRPr="00E41DAD" w:rsidRDefault="00006EF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lastRenderedPageBreak/>
        <w:t>TEBĖSENOS RODIKLIO</w:t>
      </w:r>
    </w:p>
    <w:p w14:paraId="47DD0DC1" w14:textId="547BA0EF" w:rsidR="00006EF9" w:rsidRPr="00E41DAD" w:rsidRDefault="00006EF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„BAUDŽIAMŲJŲ ELEKTRONINIŲ BYLŲ DALIS NUO VISŲ BYLŲ I INSTANCIJOS TEISMUOSE</w:t>
      </w:r>
      <w:r w:rsidR="0041085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SKAIČIAUS</w:t>
      </w: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“ APRAŠYMO KORTELĖ</w:t>
      </w:r>
    </w:p>
    <w:p w14:paraId="7EB00937" w14:textId="77777777" w:rsidR="00006EF9" w:rsidRPr="00E41DAD" w:rsidRDefault="00006EF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4259"/>
        <w:gridCol w:w="4818"/>
      </w:tblGrid>
      <w:tr w:rsidR="00006EF9" w:rsidRPr="00E41DAD" w14:paraId="5E0914B0" w14:textId="77777777" w:rsidTr="006A70D7">
        <w:trPr>
          <w:tblHeader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C814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12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E9D6D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Elementai</w:t>
            </w:r>
          </w:p>
        </w:tc>
        <w:tc>
          <w:tcPr>
            <w:tcW w:w="2501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A49AB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Kodai, pavadinimai ir aprašymas</w:t>
            </w:r>
          </w:p>
        </w:tc>
      </w:tr>
      <w:tr w:rsidR="00006EF9" w:rsidRPr="00E41DAD" w14:paraId="7381B8BE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8F9D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12E2F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5AB1A" w14:textId="573948F1" w:rsidR="00006EF9" w:rsidRPr="00E41DAD" w:rsidRDefault="00006EF9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Baudžiamųjų elektroninių bylų dalis nuo visų bylų I instancijos teismuose</w:t>
            </w:r>
            <w:r w:rsidR="00EF3B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skaičiaus</w:t>
            </w:r>
          </w:p>
        </w:tc>
      </w:tr>
      <w:tr w:rsidR="00006EF9" w:rsidRPr="00E41DAD" w14:paraId="68EB1551" w14:textId="77777777" w:rsidTr="006A70D7">
        <w:trPr>
          <w:trHeight w:val="311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48FC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1BE0B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48550" w14:textId="4420D550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Procenta</w:t>
            </w:r>
            <w:r w:rsidR="001A119C" w:rsidRPr="00E41D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006EF9" w:rsidRPr="00E41DAD" w14:paraId="11ED2FC8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BAAA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ED75C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8C8D4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Didėjimas</w:t>
            </w:r>
          </w:p>
        </w:tc>
      </w:tr>
      <w:tr w:rsidR="00006EF9" w:rsidRPr="00E41DAD" w14:paraId="11EA26D8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B910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E7781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B376D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Skaitinė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reikšmė</w:t>
            </w:r>
          </w:p>
        </w:tc>
      </w:tr>
      <w:tr w:rsidR="00006EF9" w:rsidRPr="00E41DAD" w14:paraId="3F6BA26D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E291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0B40E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8860E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</w:t>
            </w:r>
          </w:p>
        </w:tc>
      </w:tr>
      <w:tr w:rsidR="00006EF9" w:rsidRPr="00E41DAD" w14:paraId="05A2DE92" w14:textId="77777777" w:rsidTr="006A70D7">
        <w:trPr>
          <w:trHeight w:val="31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32F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825C4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DCC49" w14:textId="668BC54E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R-13-00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-08-01-0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EF9" w:rsidRPr="00E41DAD" w14:paraId="2D29E56F" w14:textId="77777777" w:rsidTr="006A70D7">
        <w:trPr>
          <w:trHeight w:val="54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368B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527A" w14:textId="77777777" w:rsidR="00006EF9" w:rsidRPr="00E41DAD" w:rsidRDefault="00006EF9" w:rsidP="004B068A">
            <w:pPr>
              <w:widowControl w:val="0"/>
              <w:tabs>
                <w:tab w:val="left" w:pos="10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70650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Netaikoma</w:t>
            </w:r>
          </w:p>
        </w:tc>
      </w:tr>
      <w:tr w:rsidR="00006EF9" w:rsidRPr="00E41DAD" w14:paraId="4019E94F" w14:textId="77777777" w:rsidTr="006A70D7">
        <w:trPr>
          <w:trHeight w:val="565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99E8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4372B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paaiškinimas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sąvokų apibrėžtys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A45BD" w14:textId="77777777" w:rsidR="00006EF9" w:rsidRDefault="00BE5D6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Stebėsenos rodikliu vertinama, kokia dalis Baudžiamųjų bylų I instancijos teismuose yra išnagrinėta elektronine forma.</w:t>
            </w:r>
            <w:r w:rsidR="0036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91036" w14:textId="1978522A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Baudžiamoji byla – </w:t>
            </w:r>
            <w:r w:rsidR="004A2243">
              <w:rPr>
                <w:rFonts w:ascii="Times New Roman" w:hAnsi="Times New Roman" w:cs="Times New Roman"/>
                <w:sz w:val="24"/>
                <w:szCs w:val="24"/>
              </w:rPr>
              <w:t>individualus baudžiamasis procesas,</w:t>
            </w:r>
            <w:r w:rsidR="004A2243">
              <w:t xml:space="preserve"> </w:t>
            </w:r>
            <w:r w:rsidR="004A2243" w:rsidRPr="004A2243">
              <w:rPr>
                <w:rFonts w:ascii="Times New Roman" w:hAnsi="Times New Roman" w:cs="Times New Roman"/>
                <w:sz w:val="24"/>
                <w:szCs w:val="24"/>
              </w:rPr>
              <w:t>esant baudžiamosios veikos požymiams</w:t>
            </w:r>
            <w:r w:rsidR="004A2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1113B" w14:textId="37E07431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Elektroninė byla –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>ylos ir su teismo procesu susijusi informacija tvarkom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elektronine forma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>ai vedama elektroninė byla, teismų gaunama ir siunčiama rašytinės formos informacija yra skaitmeninama</w:t>
            </w:r>
            <w:r w:rsidR="004A2243">
              <w:rPr>
                <w:rFonts w:ascii="Times New Roman" w:hAnsi="Times New Roman" w:cs="Times New Roman"/>
                <w:sz w:val="24"/>
                <w:szCs w:val="24"/>
              </w:rPr>
              <w:t xml:space="preserve"> ir perkeliama į elektroninę bylą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2F40" w:rsidRPr="004009E4">
              <w:rPr>
                <w:rFonts w:ascii="Times New Roman" w:hAnsi="Times New Roman" w:cs="Times New Roman"/>
                <w:sz w:val="24"/>
                <w:szCs w:val="24"/>
              </w:rPr>
              <w:t>Su teismo proceso bylomis susiję elektroniniai duomenys teismuose yra tvarkomi, įtraukiami į apskaitą ir saugomi naudojant informacines ir elektroninių ryšių technologijas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536F4" w14:textId="56564470" w:rsidR="00362F82" w:rsidRPr="00E41DAD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 instancijos teismai </w:t>
            </w:r>
            <w:r w:rsidR="000711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baudžiamosio</w:t>
            </w:r>
            <w:r w:rsidR="00CB37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ms</w:t>
            </w:r>
            <w:r w:rsidR="000711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bylo</w:t>
            </w:r>
            <w:r w:rsidR="00CB37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ms nagrinėti</w:t>
            </w:r>
            <w:r w:rsidR="000711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apylinkės teismai, apygardos teismai</w:t>
            </w:r>
            <w:r w:rsidR="0045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(kaip apibrėžta LR teismų įstatyme).</w:t>
            </w:r>
          </w:p>
        </w:tc>
      </w:tr>
      <w:tr w:rsidR="00BE5D62" w:rsidRPr="00E41DAD" w14:paraId="669607F5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5E28" w14:textId="77777777" w:rsidR="00BE5D62" w:rsidRPr="00E41DAD" w:rsidRDefault="00BE5D62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0FD65" w14:textId="77777777" w:rsidR="00BE5D62" w:rsidRPr="00E41DAD" w:rsidRDefault="00BE5D6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reikšmės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skaičiavimo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5F5DD" w14:textId="50274BC2" w:rsidR="00BE5D62" w:rsidRPr="00E41DAD" w:rsidRDefault="00BE5D6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Įvedamasis </w:t>
            </w:r>
          </w:p>
        </w:tc>
      </w:tr>
      <w:tr w:rsidR="00006EF9" w:rsidRPr="00E41DAD" w14:paraId="6BFED71A" w14:textId="77777777" w:rsidTr="006A70D7">
        <w:trPr>
          <w:trHeight w:val="1010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38B1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7AD59" w14:textId="77777777" w:rsidR="00006EF9" w:rsidRPr="00E41DAD" w:rsidRDefault="00006EF9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reikšmės apskaičiavimo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50AD" w14:textId="14368B16" w:rsidR="00BE5D62" w:rsidRPr="00E41DAD" w:rsidRDefault="00BE5D62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Vertinama elektronine forma išnagrinėtų baudžiamųjų bylų procentinė dalis nuo visų išnagrinėtų baudžiamųjų bylų I instancijos teismuose. </w:t>
            </w:r>
          </w:p>
          <w:p w14:paraId="5AC5D842" w14:textId="75B0AD3F" w:rsidR="00BE5D62" w:rsidRPr="00E41DAD" w:rsidRDefault="00BE5D62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=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(BB el.) /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(BB) × 100</w:t>
            </w:r>
          </w:p>
          <w:p w14:paraId="73064CE4" w14:textId="77777777" w:rsidR="00BE5D62" w:rsidRPr="00E41DAD" w:rsidRDefault="00BE5D62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C0BCC4" w14:textId="0920F8AB" w:rsidR="00BE5D62" w:rsidRPr="00E41DAD" w:rsidRDefault="00BE5D62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X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</w:t>
            </w:r>
            <w:r w:rsidRPr="00E41DA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išnagrinėtų baudžiamųjų elektroninių bylų dalis I instancijos teismuose nuo visų išnagrinėtų baudžiamųjų bylų I instancijos teismuose, procentais; </w:t>
            </w:r>
          </w:p>
          <w:p w14:paraId="24168173" w14:textId="2DB18706" w:rsidR="00BE5D62" w:rsidRPr="00E41DAD" w:rsidRDefault="00BE5D62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B el.)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išnagrinėtos baudžiamosios elektroninės bylos I instancijos teismuose, skaičius vnt.;</w:t>
            </w:r>
          </w:p>
          <w:p w14:paraId="0C6724E3" w14:textId="22FF2E7A" w:rsidR="00806DF1" w:rsidRPr="00E41DAD" w:rsidRDefault="00BE5D62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B.)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išnagrinėtos baudžiamosios bylos I instancijos teismuose, skaičius vnt.</w:t>
            </w:r>
          </w:p>
        </w:tc>
      </w:tr>
      <w:tr w:rsidR="00006EF9" w:rsidRPr="00E41DAD" w14:paraId="27EA8953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FAF4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E3BE1" w14:textId="77777777" w:rsidR="00006EF9" w:rsidRPr="00E41DAD" w:rsidRDefault="00006EF9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duomenų šaltini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C0D64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Lietuvos teismų informacinės sistemos duomenys.</w:t>
            </w:r>
          </w:p>
        </w:tc>
      </w:tr>
      <w:tr w:rsidR="00006EF9" w:rsidRPr="00E41DAD" w14:paraId="144EBEE5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0061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27129" w14:textId="77777777" w:rsidR="00006EF9" w:rsidRPr="00E41DAD" w:rsidRDefault="00006EF9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C2FB3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Rodiklis skaičiuojamas ir fiksuojamas vieną kartą per metus už praėjusius kalendorinius metus. Rodiklio skaičiavimo data – vasario mėn.  </w:t>
            </w:r>
          </w:p>
        </w:tc>
      </w:tr>
      <w:tr w:rsidR="00006EF9" w:rsidRPr="00E41DAD" w14:paraId="48665525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1B01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EB799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6584D" w14:textId="0E9231FD" w:rsidR="00A64EDA" w:rsidRPr="00A64EDA" w:rsidRDefault="00600AB7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rodiklis laikomas pasiektu projekto veiklų įgyvendinimo pabaigoje</w:t>
            </w:r>
            <w:r w:rsidR="00DB1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pridavus ir patvirtinus projekto galutinį mokėjimo prašymą.</w:t>
            </w:r>
          </w:p>
        </w:tc>
      </w:tr>
      <w:tr w:rsidR="00006EF9" w:rsidRPr="00E41DAD" w14:paraId="7EEB13BE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D37BF" w14:textId="77777777" w:rsidR="00006EF9" w:rsidRPr="00E41DAD" w:rsidRDefault="00006EF9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062EA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 stebėsenos rodiklį atsakinga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FA49D" w14:textId="77777777" w:rsidR="00006EF9" w:rsidRPr="00E41DAD" w:rsidRDefault="00006EF9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Nacionalinė teismų administracija</w:t>
            </w:r>
          </w:p>
        </w:tc>
      </w:tr>
      <w:tr w:rsidR="00BE5D62" w:rsidRPr="00E41DAD" w14:paraId="6F19AFD7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151D8" w14:textId="77777777" w:rsidR="00BE5D62" w:rsidRPr="00E41DAD" w:rsidRDefault="00BE5D62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D7BA5" w14:textId="77777777" w:rsidR="00BE5D62" w:rsidRPr="00E41DAD" w:rsidRDefault="00BE5D6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D6146" w14:textId="1D610E3E" w:rsidR="00BE5D62" w:rsidRPr="00E41DAD" w:rsidRDefault="00BE5D62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Teismų veiklos skyrius, tel. +370 5 251 4116.</w:t>
            </w:r>
          </w:p>
        </w:tc>
      </w:tr>
      <w:tr w:rsidR="00BE5D62" w:rsidRPr="00E41DAD" w14:paraId="3AC67010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BBD39" w14:textId="77777777" w:rsidR="00BE5D62" w:rsidRPr="00E41DAD" w:rsidRDefault="00BE5D62" w:rsidP="00806DF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6FFC2" w14:textId="77777777" w:rsidR="00BE5D62" w:rsidRPr="00E41DAD" w:rsidRDefault="00BE5D6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svarbi informacija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E9D54" w14:textId="77777777" w:rsidR="00BE5D62" w:rsidRPr="00E41DAD" w:rsidRDefault="00BE5D62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El. forma nagrinėjamos baudžiamosios bylos nustatomos Teisėjų tarybos nutarimu, įvertinus teismų veiklos ir informacinių technologijų galimybes. Nuo 2020 m. sausio 1 d. el. forma tvarkomos tik bylos pagal prokuroro pareiškimą dėl proceso užbaigimo teismo baudžiamuoju įsakymu, kuriose procesinis dokumentas, kurio pagrindu inicijuojama byla teisme, teismui yra pateiktas 2020 m. sausio 1 d. ar vėliau naudojant informacines ir elektroninių ryšių technologijas.</w:t>
            </w:r>
          </w:p>
        </w:tc>
      </w:tr>
    </w:tbl>
    <w:p w14:paraId="3D5D2519" w14:textId="77777777" w:rsidR="00006EF9" w:rsidRPr="00E41DAD" w:rsidRDefault="00006EF9" w:rsidP="00006EF9">
      <w:pPr>
        <w:spacing w:after="0" w:line="254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p w14:paraId="12F00BD2" w14:textId="77777777" w:rsidR="00806DF1" w:rsidRPr="00E41DAD" w:rsidRDefault="00806DF1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br w:type="page"/>
      </w: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lastRenderedPageBreak/>
        <w:t>STEBĖSENOS RODIKLIO</w:t>
      </w:r>
    </w:p>
    <w:p w14:paraId="16BA0000" w14:textId="3C0BDE86" w:rsidR="00006EF9" w:rsidRPr="00E41DAD" w:rsidRDefault="00806DF1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„ADMINISTRACINIŲ ELEKTRONINIŲ BYLŲ DALIS NUO VISŲ BYLŲ I INSTANCIJOS TEISMUOSE</w:t>
      </w:r>
      <w:r w:rsidR="0041085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SKAIČIAUS</w:t>
      </w: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“ APRAŠYMO KORTELĖ </w:t>
      </w:r>
    </w:p>
    <w:p w14:paraId="6DD55680" w14:textId="77777777" w:rsidR="00806DF1" w:rsidRPr="00E41DAD" w:rsidRDefault="00806DF1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4259"/>
        <w:gridCol w:w="4818"/>
      </w:tblGrid>
      <w:tr w:rsidR="00806DF1" w:rsidRPr="00E41DAD" w14:paraId="2F4FB4F8" w14:textId="77777777" w:rsidTr="006A70D7">
        <w:trPr>
          <w:tblHeader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882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12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9F712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Elementai</w:t>
            </w:r>
          </w:p>
        </w:tc>
        <w:tc>
          <w:tcPr>
            <w:tcW w:w="2501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85131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Kodai, pavadinimai ir aprašymas</w:t>
            </w:r>
          </w:p>
        </w:tc>
      </w:tr>
      <w:tr w:rsidR="00806DF1" w:rsidRPr="00E41DAD" w14:paraId="0A2FD2C1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64CA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D52EE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33B1F" w14:textId="338149C6" w:rsidR="00806DF1" w:rsidRPr="00E41DAD" w:rsidRDefault="00A03476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Administracinių</w:t>
            </w:r>
            <w:r w:rsidR="00806DF1"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elektroninių bylų dalis nuo visų bylų I instancijos teismuose</w:t>
            </w:r>
            <w:r w:rsidR="00EF3B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skaičiaus</w:t>
            </w:r>
          </w:p>
        </w:tc>
      </w:tr>
      <w:tr w:rsidR="00806DF1" w:rsidRPr="00E41DAD" w14:paraId="072F163F" w14:textId="77777777" w:rsidTr="006A70D7">
        <w:trPr>
          <w:trHeight w:val="311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FC52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0B733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D819" w14:textId="73F0A48A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Procenta</w:t>
            </w:r>
            <w:r w:rsidR="008420F2" w:rsidRPr="00E41D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06DF1" w:rsidRPr="00E41DAD" w14:paraId="77ABCE91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163A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27069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F2E9C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Didėjimas</w:t>
            </w:r>
          </w:p>
        </w:tc>
      </w:tr>
      <w:tr w:rsidR="00806DF1" w:rsidRPr="00E41DAD" w14:paraId="4F01AE62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7DD9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8BA56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13A2E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Skaitinė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reikšmė</w:t>
            </w:r>
          </w:p>
        </w:tc>
      </w:tr>
      <w:tr w:rsidR="00806DF1" w:rsidRPr="00E41DAD" w14:paraId="1D58AC8D" w14:textId="77777777" w:rsidTr="006A70D7">
        <w:trPr>
          <w:trHeight w:val="35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BDDF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FC671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C99E4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</w:t>
            </w:r>
          </w:p>
        </w:tc>
      </w:tr>
      <w:tr w:rsidR="00806DF1" w:rsidRPr="00E41DAD" w14:paraId="5803A13C" w14:textId="77777777" w:rsidTr="006A70D7">
        <w:trPr>
          <w:trHeight w:val="31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6646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08F74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C3113" w14:textId="75768BAA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R-13-00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-08-01-0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30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DF1" w:rsidRPr="00E41DAD" w14:paraId="23C5B92A" w14:textId="77777777" w:rsidTr="006A70D7">
        <w:trPr>
          <w:trHeight w:val="549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540A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DC3ED" w14:textId="77777777" w:rsidR="00806DF1" w:rsidRPr="00E41DAD" w:rsidRDefault="00806DF1" w:rsidP="004B068A">
            <w:pPr>
              <w:widowControl w:val="0"/>
              <w:tabs>
                <w:tab w:val="left" w:pos="10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208BB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Netaikoma</w:t>
            </w:r>
          </w:p>
        </w:tc>
      </w:tr>
      <w:tr w:rsidR="00806DF1" w:rsidRPr="00E41DAD" w14:paraId="476EC422" w14:textId="77777777" w:rsidTr="006A70D7">
        <w:trPr>
          <w:trHeight w:val="565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41D1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2ECA7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paaiškinimas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sąvokų apibrėžtys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D5B2C" w14:textId="77777777" w:rsidR="00806DF1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Stebėsenos rodikliu vertinama, kokia dalis </w:t>
            </w:r>
            <w:r w:rsidR="00A03476" w:rsidRPr="00E41DAD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 bylų I instancijos teismuose yra išnagrinėta elektronine forma.</w:t>
            </w:r>
            <w:r w:rsidR="0036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0ABACE" w14:textId="5831075E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Administracinė byla – </w:t>
            </w:r>
            <w:r w:rsidR="003C7B49">
              <w:rPr>
                <w:rFonts w:ascii="Times New Roman" w:hAnsi="Times New Roman" w:cs="Times New Roman"/>
                <w:sz w:val="24"/>
                <w:szCs w:val="24"/>
              </w:rPr>
              <w:t>ginčų, kylančių iš administracinių teisinių santykių nagrinėjimas kaip apibrėžta LR administracinių bylų teisenos įstatyme.</w:t>
            </w:r>
          </w:p>
          <w:p w14:paraId="19C1FA89" w14:textId="269D8E88" w:rsidR="00362F82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Elektroninė byla –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>ylos ir su teismo procesu susijusi informacija tvarkom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elektronine forma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F2F40" w:rsidRPr="00BF45E1">
              <w:rPr>
                <w:rFonts w:ascii="Times New Roman" w:hAnsi="Times New Roman" w:cs="Times New Roman"/>
                <w:sz w:val="24"/>
                <w:szCs w:val="24"/>
              </w:rPr>
              <w:t>ai vedama elektroninė byla, teismų gaunama ir siunčiama rašytinės formos informacija yra skaitmeninama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2F40" w:rsidRPr="004009E4">
              <w:rPr>
                <w:rFonts w:ascii="Times New Roman" w:hAnsi="Times New Roman" w:cs="Times New Roman"/>
                <w:sz w:val="24"/>
                <w:szCs w:val="24"/>
              </w:rPr>
              <w:t>Su teismo proceso bylomis susiję elektroniniai duomenys teismuose yra tvarkomi, įtraukiami į apskaitą ir saugomi naudojant informacines ir elektroninių ryšių technologijas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DBB13" w14:textId="45D1C490" w:rsidR="00362F82" w:rsidRPr="00E41DAD" w:rsidRDefault="00362F82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instancijos teisma</w:t>
            </w:r>
            <w:r w:rsidR="00CB37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711AC">
              <w:rPr>
                <w:rFonts w:ascii="Times New Roman" w:hAnsi="Times New Roman" w:cs="Times New Roman"/>
                <w:sz w:val="24"/>
                <w:szCs w:val="24"/>
              </w:rPr>
              <w:t xml:space="preserve"> administracinė</w:t>
            </w:r>
            <w:r w:rsidR="00CB373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0711AC">
              <w:rPr>
                <w:rFonts w:ascii="Times New Roman" w:hAnsi="Times New Roman" w:cs="Times New Roman"/>
                <w:sz w:val="24"/>
                <w:szCs w:val="24"/>
              </w:rPr>
              <w:t xml:space="preserve"> bylo</w:t>
            </w:r>
            <w:r w:rsidR="00CB3732">
              <w:rPr>
                <w:rFonts w:ascii="Times New Roman" w:hAnsi="Times New Roman" w:cs="Times New Roman"/>
                <w:sz w:val="24"/>
                <w:szCs w:val="24"/>
              </w:rPr>
              <w:t>ms nagrinėti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7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F40">
              <w:rPr>
                <w:rFonts w:ascii="Times New Roman" w:hAnsi="Times New Roman" w:cs="Times New Roman"/>
                <w:sz w:val="24"/>
                <w:szCs w:val="24"/>
              </w:rPr>
              <w:t>apygardos administracinis teismas (kaip apibrėžta LR teismų įstatyme).</w:t>
            </w:r>
          </w:p>
        </w:tc>
      </w:tr>
      <w:tr w:rsidR="00806DF1" w:rsidRPr="00E41DAD" w14:paraId="447A5355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2C7B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26C9C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reikšmės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skaičiavimo tipas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D7550" w14:textId="6D7D2CBD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Įvedamasis </w:t>
            </w:r>
          </w:p>
        </w:tc>
      </w:tr>
      <w:tr w:rsidR="00806DF1" w:rsidRPr="00E41DAD" w14:paraId="0F2D6849" w14:textId="77777777" w:rsidTr="006A70D7">
        <w:trPr>
          <w:trHeight w:val="1010"/>
        </w:trPr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B27B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AE0EA" w14:textId="77777777" w:rsidR="00806DF1" w:rsidRPr="00E41DAD" w:rsidRDefault="00806DF1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Stebėsenos rodiklio reikšmės apskaičiavimo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metodas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34EBE" w14:textId="79A2A776" w:rsidR="00806DF1" w:rsidRPr="00E41DAD" w:rsidRDefault="00806DF1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Vertinama elektronine forma išnagrinėtų </w:t>
            </w:r>
            <w:r w:rsidR="00A03476"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administracinių</w:t>
            </w: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bylų procentinė dalis nuo visų išnagrinėtų </w:t>
            </w:r>
            <w:r w:rsidR="00A03476"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administracinių</w:t>
            </w:r>
            <w:r w:rsidRPr="00E41DAD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bylų I instancijos teismuose. </w:t>
            </w:r>
          </w:p>
          <w:p w14:paraId="40D10891" w14:textId="20F90CE8" w:rsidR="00806DF1" w:rsidRPr="00E41DAD" w:rsidRDefault="00806DF1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=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B el.) / 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B) × 100</w:t>
            </w:r>
          </w:p>
          <w:p w14:paraId="2E428462" w14:textId="77777777" w:rsidR="00806DF1" w:rsidRPr="00E41DAD" w:rsidRDefault="00806DF1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DD780C" w14:textId="698E0717" w:rsidR="00806DF1" w:rsidRPr="00E41DAD" w:rsidRDefault="00806DF1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X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</w:t>
            </w:r>
            <w:r w:rsidRPr="00E41DA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išnagrinėtų 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administracinių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elektroninių bylų dalis I instancijos teismuose nuo visų išnagrinėtų 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administracinių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bylų I instancijos teismuose, procentais; </w:t>
            </w:r>
          </w:p>
          <w:p w14:paraId="73533308" w14:textId="0B808A72" w:rsidR="00806DF1" w:rsidRPr="00E41DAD" w:rsidRDefault="00806DF1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B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el.)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išnagrinėtos 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administracinės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elektroninės bylos I instancijos teismuose, skaičius vnt.;</w:t>
            </w:r>
          </w:p>
          <w:p w14:paraId="59D9AF78" w14:textId="4F30139C" w:rsidR="00806DF1" w:rsidRPr="00E41DAD" w:rsidRDefault="00806DF1" w:rsidP="004B068A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Y</w:t>
            </w:r>
            <w:r w:rsidRPr="00E41DA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B.) – </w:t>
            </w:r>
            <w:r w:rsidRPr="00E41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n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metais išnagrinėtos </w:t>
            </w:r>
            <w:r w:rsidR="00A03476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administracinės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bylos I instancijos teismuose, skaičius vnt.</w:t>
            </w:r>
          </w:p>
        </w:tc>
      </w:tr>
      <w:tr w:rsidR="00806DF1" w:rsidRPr="00E41DAD" w14:paraId="69898BBB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7C41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9AB3E" w14:textId="77777777" w:rsidR="00806DF1" w:rsidRPr="00E41DAD" w:rsidRDefault="00806DF1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Stebėsenos rodiklio </w:t>
            </w: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duomenų šaltini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B5D5C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Lietuvos teismų informacinės sistemos duomenys.</w:t>
            </w:r>
          </w:p>
        </w:tc>
      </w:tr>
      <w:tr w:rsidR="00806DF1" w:rsidRPr="00E41DAD" w14:paraId="65D5FD60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61B2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ABE8F" w14:textId="77777777" w:rsidR="00806DF1" w:rsidRPr="00E41DAD" w:rsidRDefault="00806DF1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D4613" w14:textId="21EB4AB8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 xml:space="preserve">Rodiklis skaičiuojamas ir fiksuojamas vieną kartą per metus už praėjusius kalendorinius metus. Rodiklio skaičiavimo data – vasario mėn.  </w:t>
            </w:r>
          </w:p>
        </w:tc>
      </w:tr>
      <w:tr w:rsidR="00806DF1" w:rsidRPr="00E41DAD" w14:paraId="798465A5" w14:textId="77777777" w:rsidTr="006A70D7">
        <w:tc>
          <w:tcPr>
            <w:tcW w:w="286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27BC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F4BA9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66F9A" w14:textId="762A3E3A" w:rsidR="00A64EDA" w:rsidRPr="00E41DAD" w:rsidRDefault="00600AB7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rodiklis laikomas pasiektu projekto veiklų įgyvendinimo pabaigoje</w:t>
            </w:r>
            <w:r w:rsidR="00DB1B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pridavus ir patvirtinus projekto galutinį mokėjimo prašymą.</w:t>
            </w:r>
          </w:p>
        </w:tc>
      </w:tr>
      <w:tr w:rsidR="00806DF1" w:rsidRPr="00E41DAD" w14:paraId="0FAEB570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C7123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D31D8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 stebėsenos rodiklį atsakinga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DF50D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808080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Nacionalinė teismų administracija</w:t>
            </w:r>
          </w:p>
        </w:tc>
      </w:tr>
      <w:tr w:rsidR="00806DF1" w:rsidRPr="00E41DAD" w14:paraId="66702C71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348A1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61225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2DE1F" w14:textId="77777777" w:rsidR="00806DF1" w:rsidRPr="00E41DAD" w:rsidRDefault="00806DF1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</w:rPr>
              <w:t>Teismų veiklos skyrius, tel. +370 5 251 4116.</w:t>
            </w:r>
          </w:p>
        </w:tc>
      </w:tr>
      <w:tr w:rsidR="00806DF1" w:rsidRPr="00E41DAD" w14:paraId="0AA56109" w14:textId="77777777" w:rsidTr="006A70D7">
        <w:tc>
          <w:tcPr>
            <w:tcW w:w="286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5DB71" w14:textId="77777777" w:rsidR="00806DF1" w:rsidRPr="00E41DAD" w:rsidRDefault="00806DF1" w:rsidP="00811F5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06992" w14:textId="77777777" w:rsidR="00806DF1" w:rsidRPr="00E41DAD" w:rsidRDefault="00806DF1" w:rsidP="004B068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svarbi informacija</w:t>
            </w:r>
          </w:p>
        </w:tc>
        <w:tc>
          <w:tcPr>
            <w:tcW w:w="250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F90F" w14:textId="72D26F1A" w:rsidR="00806DF1" w:rsidRPr="00E41DAD" w:rsidRDefault="00A03476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6575344B" w14:textId="77777777" w:rsidR="00806DF1" w:rsidRPr="00E41DAD" w:rsidRDefault="00806DF1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p w14:paraId="41E7DEC1" w14:textId="4D6CBC4A" w:rsidR="00A03476" w:rsidRPr="00E41DAD" w:rsidRDefault="00A03476">
      <w:pP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br w:type="page"/>
      </w:r>
    </w:p>
    <w:p w14:paraId="29B41E5E" w14:textId="53AA6416" w:rsidR="005C1E10" w:rsidRPr="00E41DAD" w:rsidRDefault="005C1E10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lastRenderedPageBreak/>
        <w:t>STEBĖSENOS RODIKLIO</w:t>
      </w:r>
    </w:p>
    <w:p w14:paraId="29712DE3" w14:textId="05B31300" w:rsidR="00E21571" w:rsidRPr="00E41DAD" w:rsidRDefault="00E21571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F9203D"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Teismų, kuriuose liudytojams ir nukentėjusiems asmenims užtikrintos saugios sąlygos, dalis (Apylinkių teismai)</w:t>
      </w: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0CE4C9A6" w14:textId="77777777" w:rsidR="005C1E10" w:rsidRPr="00E41DAD" w:rsidRDefault="005C1E10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APRAŠYMO KORTELĖ</w:t>
      </w:r>
    </w:p>
    <w:p w14:paraId="401892A3" w14:textId="77777777" w:rsidR="005C1E10" w:rsidRPr="00E41DAD" w:rsidRDefault="005C1E10" w:rsidP="00806D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5000" w:type="pct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221"/>
        <w:gridCol w:w="4916"/>
      </w:tblGrid>
      <w:tr w:rsidR="005C1E10" w:rsidRPr="00E41DAD" w14:paraId="775C85B8" w14:textId="77777777" w:rsidTr="004B068A">
        <w:trPr>
          <w:tblHeader/>
        </w:trPr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4CF0" w14:textId="77777777" w:rsidR="005C1E10" w:rsidRPr="00E41DAD" w:rsidRDefault="005C1E10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92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9A3EDE" w14:textId="77777777" w:rsidR="005C1E10" w:rsidRPr="00E41DAD" w:rsidRDefault="005C1E10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Elementai</w:t>
            </w:r>
          </w:p>
        </w:tc>
        <w:tc>
          <w:tcPr>
            <w:tcW w:w="2552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6AC6E2" w14:textId="77777777" w:rsidR="005C1E10" w:rsidRPr="00E41DAD" w:rsidRDefault="005C1E10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Kodai, pavadinimai ir aprašymas</w:t>
            </w:r>
          </w:p>
        </w:tc>
      </w:tr>
      <w:tr w:rsidR="005C1E10" w:rsidRPr="00E41DAD" w14:paraId="0631FECA" w14:textId="77777777" w:rsidTr="004B068A">
        <w:trPr>
          <w:trHeight w:val="829"/>
        </w:trPr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D7D5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EE71D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pavadinimas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50A1F" w14:textId="7E1423CD" w:rsidR="00A54BA7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A54BA7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eismų, kuriuose liudytojams ir nukentėjusiems asmenims užtikrintos saugios sąlygos, dalis (Apylinkių teismai)</w:t>
            </w:r>
          </w:p>
        </w:tc>
      </w:tr>
      <w:tr w:rsidR="005C1E10" w:rsidRPr="00E41DAD" w14:paraId="1F117BED" w14:textId="77777777" w:rsidTr="004B068A"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2F59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D4A5E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matavimo vienetai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EAB43E" w14:textId="5F604D2E" w:rsidR="005C1E10" w:rsidRPr="00E41DAD" w:rsidRDefault="00E21571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Procentai</w:t>
            </w:r>
          </w:p>
        </w:tc>
      </w:tr>
      <w:tr w:rsidR="005C1E10" w:rsidRPr="00E41DAD" w14:paraId="3159463E" w14:textId="77777777" w:rsidTr="004B068A"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FEEC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FF9D0B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kryptis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388BD5" w14:textId="23CB2BF5" w:rsidR="005C1E10" w:rsidRPr="00E41DAD" w:rsidRDefault="00E21571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Didėjimas</w:t>
            </w:r>
          </w:p>
        </w:tc>
      </w:tr>
      <w:tr w:rsidR="005C1E10" w:rsidRPr="00E41DAD" w14:paraId="6A9E3F61" w14:textId="77777777" w:rsidTr="004B068A"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8686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D9FE5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tipas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6BC62B" w14:textId="612DE9BD" w:rsidR="005C1E10" w:rsidRPr="00E41DAD" w:rsidRDefault="00E21571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Skaitinė reikšmė</w:t>
            </w:r>
          </w:p>
        </w:tc>
      </w:tr>
      <w:tr w:rsidR="005C1E10" w:rsidRPr="00E41DAD" w14:paraId="5A02282F" w14:textId="77777777" w:rsidTr="004B068A"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4B52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4075E3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tipas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74AEC" w14:textId="5675880C" w:rsidR="005C1E10" w:rsidRPr="00E41DAD" w:rsidRDefault="00171AD4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</w:t>
            </w:r>
            <w:r w:rsidR="005C1E1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ezultato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rodiklis</w:t>
            </w:r>
          </w:p>
        </w:tc>
      </w:tr>
      <w:tr w:rsidR="005C1E10" w:rsidRPr="00E41DAD" w14:paraId="24265298" w14:textId="77777777" w:rsidTr="004B068A"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7502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190B7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kodas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20212" w14:textId="2BEF219A" w:rsidR="005C1E10" w:rsidRPr="00E41DAD" w:rsidRDefault="00A54BA7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R-13-</w:t>
            </w:r>
            <w:r w:rsidR="00031C9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-08-01-0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5C1E10" w:rsidRPr="00E41DAD" w14:paraId="56EDEC09" w14:textId="77777777" w:rsidTr="004B068A">
        <w:trPr>
          <w:trHeight w:val="534"/>
        </w:trPr>
        <w:tc>
          <w:tcPr>
            <w:tcW w:w="255" w:type="pct"/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53D4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219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0BD837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Europos Komisijos suteiktas stebėsenos rodiklio kodas</w:t>
            </w:r>
          </w:p>
        </w:tc>
        <w:tc>
          <w:tcPr>
            <w:tcW w:w="2552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2748C" w14:textId="42437B4E" w:rsidR="005C1E10" w:rsidRPr="00E41DAD" w:rsidRDefault="00171AD4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Netaikoma</w:t>
            </w:r>
          </w:p>
        </w:tc>
      </w:tr>
      <w:tr w:rsidR="005C1E10" w:rsidRPr="00E41DAD" w14:paraId="2F5E3BFA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4F28F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5A10E6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paaiškinimas, </w:t>
            </w: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sąvokų apibrėžtys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65791B" w14:textId="77777777" w:rsidR="005C1E10" w:rsidRDefault="003B3D65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</w:t>
            </w:r>
            <w:r w:rsidR="00E13773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odikli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</w:t>
            </w:r>
            <w:r w:rsidR="00E13773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vertinama, kokia dalis</w:t>
            </w:r>
            <w:r w:rsidR="00F9203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apylinkių</w:t>
            </w:r>
            <w:r w:rsidR="009518B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9518B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="00A54BA7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9518B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teism</w:t>
            </w:r>
            <w:r w:rsidR="006B7F83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9518B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rūm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4C4E6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A54BA7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jei teism</w:t>
            </w:r>
            <w:r w:rsidR="004C4E6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A54BA7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sudar</w:t>
            </w:r>
            <w:r w:rsidR="004C4E6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ytas iš</w:t>
            </w:r>
            <w:r w:rsidR="00A54BA7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teismo rūm</w:t>
            </w:r>
            <w:r w:rsidR="004C4E6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ų)</w:t>
            </w:r>
            <w:r w:rsidR="00E13773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AF5D34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turi</w:t>
            </w:r>
            <w:r w:rsidR="00115B2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įrengt</w:t>
            </w:r>
            <w:r w:rsidR="0078071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</w:t>
            </w:r>
            <w:r w:rsidR="00115B2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laukiam</w:t>
            </w:r>
            <w:r w:rsidR="0072711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uosius</w:t>
            </w:r>
            <w:r w:rsidR="00115B2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liudytojams ir (ar) nukentėjusiesiems </w:t>
            </w:r>
            <w:r w:rsidR="004C4E6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 (arba)</w:t>
            </w:r>
            <w:r w:rsidR="00115B2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nepilnamečio liudytojo ir nukentėjusio apklausos kambari</w:t>
            </w:r>
            <w:r w:rsidR="0072711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us, lyginant su visais apylinkių teismais</w:t>
            </w:r>
            <w:r w:rsidR="007F7EB2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teism</w:t>
            </w:r>
            <w:r w:rsidR="006B7F83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7F7EB2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rūmais</w:t>
            </w:r>
            <w:r w:rsidR="009518B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58379D69" w14:textId="77F980FD" w:rsidR="00031C9E" w:rsidRPr="008160B1" w:rsidRDefault="00031C9E" w:rsidP="008506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Apylinkės teismas – 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emiausios grandies bendrosios kompetencijos teismas Lietuvoje</w:t>
            </w:r>
            <w:r w:rsidR="0085065A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pirmoji instancija civilin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ms, baud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iamosioms ir kai kurioms </w:t>
            </w:r>
            <w:r w:rsidR="006A5E4F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administracin</w:t>
            </w:r>
            <w:r w:rsidR="006A5E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ių nusižengimų 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byloms, skundams d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 ikiteisminio tyrimo pareig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ū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 ar prokuroro veiksm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byloms, susijusioms su sprendim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nuosprend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="0085065A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vykdymu. </w:t>
            </w:r>
            <w:r w:rsidR="00AF337C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 teismų įsteigimas, jų struktūros ir buveinės</w:t>
            </w:r>
            <w:r w:rsidR="008160B1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o t. p.</w:t>
            </w:r>
            <w:r w:rsid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8160B1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</w:t>
            </w:r>
            <w:r w:rsidR="008160B1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teismo rūmų veiklos teritorijos </w:t>
            </w:r>
            <w:r w:rsidR="00AF337C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nustatytos Lietuvos Respublikos apylinkių teismų įsteigimo ir jų veiklos teritorijų nustatymo įstatym</w:t>
            </w:r>
            <w:r w:rsidR="008160B1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="00AF337C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2B06DEB" w14:textId="170D90E5" w:rsidR="00031C9E" w:rsidRPr="008160B1" w:rsidRDefault="0000494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Nepilnamečio liudytojo ir nukentėjusio apklausos </w:t>
            </w:r>
            <w:r w:rsidR="00031C9E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kambarys –</w:t>
            </w:r>
            <w:r w:rsidR="00FB72C8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FB72C8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vaikų apklausoms pritaikyta patalpa, įrengta vadovaujantis Nepilnamečio liudytojo ir nukentėjusiojo apklausos patalpų įrengimo Lietuvos Respublikos teismuose pagrindinius reikalavimais</w:t>
            </w:r>
            <w:r w:rsidR="00FB72C8" w:rsidRPr="00362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13B2CD1" w14:textId="3B858ADC" w:rsidR="00031C9E" w:rsidRPr="008160B1" w:rsidRDefault="00031C9E" w:rsidP="00AF33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Laukiamasis </w:t>
            </w:r>
            <w:r w:rsidR="00FB72C8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liudytojams ir (ar) nukentėjusiesiems 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="00AF337C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atskira </w:t>
            </w:r>
            <w:r w:rsidR="00AF337C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patalpa, skirta asmenims baudžiamajame procese pripažintiems nukentėjusiaisiais ir liudytojais, kuriuos reikia apsaugoti nuo neigiamo kitų proceso dalyvių poveikio, laukti teismo posėdžio</w:t>
            </w:r>
            <w:r w:rsidR="00AF337C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įrengiama šalia didžiausių baudžiamųjų bylų posėdžių salių.</w:t>
            </w:r>
          </w:p>
          <w:p w14:paraId="649793EE" w14:textId="08ED61F1" w:rsidR="00031C9E" w:rsidRPr="008160B1" w:rsidRDefault="00031C9E" w:rsidP="00031C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Liudytojas – 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asmuo, </w:t>
            </w:r>
            <w:r w:rsidR="00D64729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į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statym</w:t>
            </w:r>
            <w:r w:rsidR="00D64729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nustatyta tvarka</w:t>
            </w:r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8" w:history="1">
              <w:r w:rsidR="00D64729" w:rsidRPr="00362F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ikiteisminio</w:t>
              </w:r>
              <w:r w:rsidR="00D64729" w:rsidRPr="008160B1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 xml:space="preserve"> t</w:t>
              </w:r>
              <w:r w:rsidR="00D64729" w:rsidRPr="00362F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yrimo</w:t>
              </w:r>
            </w:hyperlink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pareig</w:t>
            </w:r>
            <w:r w:rsidR="00D64729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ū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no,</w:t>
            </w:r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9" w:history="1">
              <w:r w:rsidR="00D64729" w:rsidRPr="00362F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prokuroro</w:t>
              </w:r>
            </w:hyperlink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10" w:history="1">
              <w:r w:rsidR="00D64729" w:rsidRPr="00362F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teismo</w:t>
              </w:r>
            </w:hyperlink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kitos institucijos </w:t>
            </w:r>
            <w:r w:rsidR="00D64729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š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aukiamas pateikti jam </w:t>
            </w:r>
            <w:r w:rsidR="00D64729" w:rsidRPr="00362F82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D64729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inomus byloje nustatytinus faktus ir aplinkybes</w:t>
            </w:r>
            <w:r w:rsidR="00D64729"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612F4D1" w14:textId="1CD65D50" w:rsidR="00031C9E" w:rsidRPr="008160B1" w:rsidRDefault="00031C9E" w:rsidP="00031C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Nukentėjęs asmuo – </w:t>
            </w:r>
            <w:r w:rsidR="000B1A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asmuo, kuriam </w:t>
            </w:r>
            <w:hyperlink r:id="rId11" w:history="1">
              <w:r w:rsidR="0085065A" w:rsidRPr="00362F82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nusikaltimo</w:t>
              </w:r>
            </w:hyperlink>
            <w:r w:rsidR="0085065A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B1A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metu padaryta fizinė, turtinė ar moralinė žala.</w:t>
            </w:r>
          </w:p>
          <w:p w14:paraId="2546FCD5" w14:textId="601BAD9C" w:rsidR="00031C9E" w:rsidRPr="00E41DAD" w:rsidRDefault="00031C9E" w:rsidP="00031C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Saugios sąlygos –</w:t>
            </w:r>
            <w:r w:rsidR="00F6398C"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916F6"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šiame kontekste</w:t>
            </w:r>
            <w:r w:rsidR="00083AC0"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suprantamos kaip aplinka, kurioje asmenys</w:t>
            </w:r>
            <w:r w:rsidR="006B3F5F"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083AC0" w:rsidRP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baudžiamajame procese pripažinti nukentėjusiaisiais ir liudytojais, laukiantys teismo posėdžio, būtų apsaugoti nuo galimo neigiamo kitų proceso dalyvių poveikio.</w:t>
            </w:r>
            <w:r w:rsidR="00083AC0" w:rsidRPr="00475EFC">
              <w:rPr>
                <w:sz w:val="24"/>
                <w:szCs w:val="24"/>
              </w:rPr>
              <w:t xml:space="preserve"> </w:t>
            </w:r>
          </w:p>
        </w:tc>
      </w:tr>
      <w:tr w:rsidR="005C1E10" w:rsidRPr="00E41DAD" w14:paraId="30FD82D3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2FB7AE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9.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A665D7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Stebėsenos rodiklio reikšmės apskaičiavimo tipas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FF8EE" w14:textId="20E02AAA" w:rsidR="005C1E10" w:rsidRPr="00E41DAD" w:rsidRDefault="00A0272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</w:t>
            </w:r>
            <w:r w:rsidR="005C1E1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vedamasis </w:t>
            </w:r>
          </w:p>
        </w:tc>
      </w:tr>
      <w:tr w:rsidR="005C1E10" w:rsidRPr="00E41DAD" w14:paraId="0EEFAD47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90B39F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79282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 </w:t>
            </w: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reikšmės 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apskaičiavimo metodas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2D2C2F" w14:textId="3704D11B" w:rsidR="00A03476" w:rsidRPr="00E41DAD" w:rsidRDefault="00154415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Vertinamas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apylinkių teism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teismų rūm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ų 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(jei teismas sudarytas iš teismo rūmų)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skaičius, kuriuose yra 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įrengt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laukiam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ieji</w:t>
            </w:r>
            <w:r w:rsidR="001A30D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liudytojams ir (ar) nukentėjusiesiems ir (arba) nepilnamečio liudytojo ir nukentėjusio apklausos kambari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 ir bendr</w:t>
            </w:r>
            <w:r w:rsidR="00E67264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apylinkių teismų ir teismų rūmų (jei teismas sudarytas iš teismo rūmų) s</w:t>
            </w:r>
            <w:r w:rsidR="00171A3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kaičiaus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procentinis santykis.</w:t>
            </w:r>
          </w:p>
          <w:p w14:paraId="1E20D800" w14:textId="0CE50993" w:rsidR="001A30DD" w:rsidRPr="00E41DAD" w:rsidRDefault="00E67264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SSAp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= </w:t>
            </w:r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∑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ApLK</w:t>
            </w:r>
            <w:proofErr w:type="spellEnd"/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/ ∑</w:t>
            </w:r>
            <w:proofErr w:type="spellStart"/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</w:t>
            </w:r>
            <w:proofErr w:type="spellEnd"/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</w:t>
            </w:r>
            <w:r w:rsidR="00A930CC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x 100</w:t>
            </w:r>
          </w:p>
          <w:p w14:paraId="3B54F72A" w14:textId="7ECEE060" w:rsidR="00171A31" w:rsidRPr="00E41DAD" w:rsidRDefault="00A03476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43F9457" w14:textId="4BA63381" w:rsidR="00E67264" w:rsidRPr="00E41DAD" w:rsidRDefault="00E67264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SSAp</w:t>
            </w:r>
            <w:proofErr w:type="spellEnd"/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 teismų, kuriuose liudytojams ir nukentėjusiems asmenims užtikrintos saugios sąlygos, dalis (Apylinkių teismai), procentais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39109D91" w14:textId="16C83787" w:rsidR="00DA69B1" w:rsidRPr="00E41DAD" w:rsidRDefault="00A930CC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 </w:t>
            </w: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ApLK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 teismai ir teismų rūmai (jei teismas sudarytas iš teismo rūmų), kuriuose yra įrengti laukiamieji liudytojams ir (ar) nukentėjusiesiems ir (arba) nepilnamečio liudytojo ir nukentėjusio apklausos kambariai.</w:t>
            </w:r>
            <w:r w:rsidR="0097399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Jei apylinkės teisme ar teismo rūmuose</w:t>
            </w:r>
            <w:r w:rsidR="00644AC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nėra įrengto laukiamojo liudytojams ir (ar) nukentėjusiesiems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taip pat nėra ir </w:t>
            </w:r>
            <w:r w:rsidR="00644AC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nepilnamečio liudytojo ir </w:t>
            </w:r>
            <w:r w:rsidR="00644AC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nukentėjusio apklausos kambario, reikšmė bus </w:t>
            </w:r>
            <w:r w:rsidR="00644ACE"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="00644AC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0, jei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yra įrengtas tik laukiamasis liudytojams ir (ar) nukentėjusiesiems arba 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tik 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nepilnamečio liudytojo ir nukentėjusio apklausos kambarys, reikšmė bus</w:t>
            </w:r>
            <w:r w:rsidR="00644ACE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644ACE"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0,5, jei yra įrengtas laukiamasis liudytojams ir (ar) nukentėjusiesiems ir nepilnamečio liudytojo ir nukentėjusio apklausos kambarys, reikšmė 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bus </w:t>
            </w:r>
            <w:r w:rsidR="003B3D65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– 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0CF78681" w14:textId="74926ED9" w:rsidR="00171A31" w:rsidRPr="00E41DAD" w:rsidRDefault="00171A31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apylinkių teismų ir teismų rūmų (jei teismas sudarytas iš teismo rūmų) skaičiaus.</w:t>
            </w:r>
          </w:p>
        </w:tc>
      </w:tr>
      <w:tr w:rsidR="005C1E10" w:rsidRPr="00E41DAD" w14:paraId="72A2D289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D73FEC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11.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C01BC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duomenų šaltiniai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B65F2" w14:textId="4088A61D" w:rsidR="005C1E10" w:rsidRPr="00E41DAD" w:rsidRDefault="004C4E6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Nacionalinės teismų administracijos duomenys</w:t>
            </w:r>
          </w:p>
        </w:tc>
      </w:tr>
      <w:tr w:rsidR="005C1E10" w:rsidRPr="00E41DAD" w14:paraId="72B2C8F2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73BD37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2ED31A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skaičiavimo periodiškumas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656A7A" w14:textId="66E00A39" w:rsidR="00F9203D" w:rsidRPr="00E41DAD" w:rsidRDefault="009518BA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808080"/>
                <w:sz w:val="24"/>
                <w:szCs w:val="24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Reikšmės vertinamos įgyvendinus veikl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ą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F9203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vieną kartą per metus už praėjusius kalendorinius metus. 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</w:t>
            </w:r>
            <w:r w:rsidR="00F9203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odiklio skaičiavimo data –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iki stebėsenos rodiklių </w:t>
            </w:r>
            <w:r w:rsidR="00D40ACB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ataskaitos teikimo met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ų </w:t>
            </w:r>
            <w:r w:rsidR="0097399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vasario</w:t>
            </w:r>
            <w:r w:rsidR="00F9203D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mėn</w:t>
            </w:r>
            <w:r w:rsidR="0097399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15 d</w:t>
            </w:r>
            <w:r w:rsidR="00F9203D" w:rsidRPr="00E4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03D" w:rsidRPr="00E41DAD">
              <w:rPr>
                <w:rFonts w:ascii="Times New Roman" w:hAnsi="Times New Roman" w:cs="Times New Roman"/>
                <w:bCs/>
                <w:i/>
                <w:iCs/>
                <w:color w:val="808080"/>
                <w:sz w:val="24"/>
                <w:szCs w:val="24"/>
              </w:rPr>
              <w:t xml:space="preserve"> </w:t>
            </w:r>
          </w:p>
        </w:tc>
      </w:tr>
      <w:tr w:rsidR="005C1E10" w:rsidRPr="00E41DAD" w14:paraId="1FF4AF0C" w14:textId="77777777" w:rsidTr="004B068A">
        <w:trPr>
          <w:trHeight w:val="539"/>
        </w:trPr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D3EB11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DCE76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pasiekimo momentas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9191A" w14:textId="52D1924D" w:rsidR="00A64EDA" w:rsidRPr="00E41DAD" w:rsidRDefault="002D4F3C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</w:t>
            </w:r>
            <w:r w:rsidR="005C1E1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senos rodiklis laikomas pasiektu projekto veiklų įgyvendinimo pabaigoje</w:t>
            </w:r>
            <w:r w:rsidR="00792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atlikus </w:t>
            </w:r>
            <w:r w:rsidR="0076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suplanuotus</w:t>
            </w:r>
            <w:r w:rsidR="00792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darbus ir pasirašius</w:t>
            </w:r>
            <w:bookmarkStart w:id="0" w:name="_Hlk106092006"/>
            <w:r w:rsidR="00792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</w:t>
            </w:r>
            <w:r w:rsidR="00792594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tliktų darbų </w:t>
            </w:r>
            <w:bookmarkEnd w:id="0"/>
            <w:r w:rsidR="00792594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akt</w:t>
            </w:r>
            <w:r w:rsidR="00792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us.</w:t>
            </w:r>
            <w:r w:rsidR="00792594">
              <w:t xml:space="preserve"> </w:t>
            </w:r>
          </w:p>
        </w:tc>
      </w:tr>
      <w:tr w:rsidR="005C1E10" w:rsidRPr="00E41DAD" w14:paraId="5FFCDEE7" w14:textId="77777777" w:rsidTr="004B068A">
        <w:trPr>
          <w:trHeight w:val="240"/>
        </w:trPr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C2678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C8B87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 stebėsenos rodiklį atsakinga įstaiga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D1B440" w14:textId="74F1B33F" w:rsidR="005C1E10" w:rsidRPr="00E41DAD" w:rsidRDefault="002D4F3C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Nacionalinė teismų administracija</w:t>
            </w:r>
          </w:p>
        </w:tc>
      </w:tr>
      <w:tr w:rsidR="005C1E10" w:rsidRPr="00E41DAD" w14:paraId="7228D3D0" w14:textId="77777777" w:rsidTr="004B068A">
        <w:trPr>
          <w:trHeight w:val="256"/>
        </w:trPr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03417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B069C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Įstaigos padalinys ir kontaktinis telefono numeris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99679E" w14:textId="229D0E91" w:rsidR="005C1E10" w:rsidRPr="00E41DAD" w:rsidRDefault="002D4F3C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Technologijų ir išteklių valdymo departamento Turto valdymo skyrius, tel. +370 610 67227</w:t>
            </w:r>
          </w:p>
        </w:tc>
      </w:tr>
      <w:tr w:rsidR="005C1E10" w:rsidRPr="00E41DAD" w14:paraId="6F70E776" w14:textId="77777777" w:rsidTr="004B068A">
        <w:tc>
          <w:tcPr>
            <w:tcW w:w="255" w:type="pct"/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52D457" w14:textId="77777777" w:rsidR="005C1E10" w:rsidRPr="00E41DAD" w:rsidRDefault="005C1E10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16.</w:t>
            </w:r>
          </w:p>
        </w:tc>
        <w:tc>
          <w:tcPr>
            <w:tcW w:w="2192" w:type="pct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A8D829" w14:textId="77777777" w:rsidR="005C1E10" w:rsidRPr="00E41DAD" w:rsidRDefault="005C1E10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 svarbi informacija</w:t>
            </w:r>
          </w:p>
        </w:tc>
        <w:tc>
          <w:tcPr>
            <w:tcW w:w="255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30DAF" w14:textId="0591E8B4" w:rsidR="005C1E10" w:rsidRPr="00E41DAD" w:rsidRDefault="003B3D65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</w:t>
            </w:r>
            <w:r w:rsidR="00376FD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odikli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 reikšmei</w:t>
            </w:r>
            <w:r w:rsidR="00376FD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įtak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ą</w:t>
            </w:r>
            <w:r w:rsidR="00376FD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gali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</w:t>
            </w:r>
            <w:r w:rsidR="00376FD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yti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vykdomos teismų </w:t>
            </w:r>
            <w:r w:rsidR="00376FD0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reformos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p w14:paraId="674AEDFF" w14:textId="4C111EF5" w:rsidR="004B5AA9" w:rsidRPr="00E41DAD" w:rsidRDefault="005C1E10" w:rsidP="00E41DA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="00973999"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br w:type="page"/>
      </w:r>
    </w:p>
    <w:p w14:paraId="40994892" w14:textId="77777777" w:rsidR="004B5AA9" w:rsidRPr="00E41DAD" w:rsidRDefault="004B5AA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lastRenderedPageBreak/>
        <w:t>STEBĖSENOS RODIKLIO</w:t>
      </w:r>
    </w:p>
    <w:p w14:paraId="5381E952" w14:textId="08AA4FC5" w:rsidR="004B5AA9" w:rsidRPr="00E41DAD" w:rsidRDefault="004B5AA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„Teismų, kuriuose liudytojams ir nukentėjusiems asmenims užtikrintos saugios sąlygos, dalis (</w:t>
      </w:r>
      <w:r w:rsidR="0041085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APYGARDŲ</w:t>
      </w:r>
      <w:r w:rsidR="00410852"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teismai)“</w:t>
      </w:r>
    </w:p>
    <w:p w14:paraId="39E0D84A" w14:textId="77777777" w:rsidR="004B5AA9" w:rsidRPr="00E41DAD" w:rsidRDefault="004B5AA9" w:rsidP="00806D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t-LT"/>
          <w14:ligatures w14:val="none"/>
        </w:rPr>
        <w:t>APRAŠYMO KORTELĖ</w:t>
      </w:r>
    </w:p>
    <w:p w14:paraId="01D65F23" w14:textId="77777777" w:rsidR="004B5AA9" w:rsidRPr="00E41DAD" w:rsidRDefault="004B5AA9" w:rsidP="00806D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0"/>
        <w:gridCol w:w="5097"/>
      </w:tblGrid>
      <w:tr w:rsidR="004B5AA9" w:rsidRPr="00E41DAD" w14:paraId="632905CC" w14:textId="77777777" w:rsidTr="004B068A">
        <w:trPr>
          <w:tblHeader/>
        </w:trPr>
        <w:tc>
          <w:tcPr>
            <w:tcW w:w="255" w:type="pct"/>
            <w:tcBorders>
              <w:bottom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636F" w14:textId="77777777" w:rsidR="004B5AA9" w:rsidRPr="00E41DAD" w:rsidRDefault="004B5AA9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098" w:type="pct"/>
            <w:tcBorders>
              <w:bottom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F6920" w14:textId="77777777" w:rsidR="004B5AA9" w:rsidRPr="00E41DAD" w:rsidRDefault="004B5AA9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Elementai</w:t>
            </w:r>
          </w:p>
        </w:tc>
        <w:tc>
          <w:tcPr>
            <w:tcW w:w="2647" w:type="pct"/>
            <w:tcBorders>
              <w:bottom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80CC43" w14:textId="77777777" w:rsidR="004B5AA9" w:rsidRPr="00E41DAD" w:rsidRDefault="004B5AA9" w:rsidP="00806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Kodai, pavadinimai ir aprašymas</w:t>
            </w:r>
          </w:p>
        </w:tc>
      </w:tr>
      <w:tr w:rsidR="004B5AA9" w:rsidRPr="00E41DAD" w14:paraId="49AC8193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4CAF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1AACCA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pavadinimas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F0EED" w14:textId="76A4B92C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Teismų, kuriuose liudytojams ir nukentėjusiems asmenims užtikrintos saugios sąlygos, dalis (Apygardų teismai)</w:t>
            </w:r>
          </w:p>
        </w:tc>
      </w:tr>
      <w:tr w:rsidR="004B5AA9" w:rsidRPr="00E41DAD" w14:paraId="5869F2FE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B865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F5EC49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matavimo vienetai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766E16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Procentai</w:t>
            </w:r>
          </w:p>
        </w:tc>
      </w:tr>
      <w:tr w:rsidR="004B5AA9" w:rsidRPr="00E41DAD" w14:paraId="40DD3A7D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F288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439B3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kryptis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67040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Didėjimas</w:t>
            </w:r>
          </w:p>
        </w:tc>
      </w:tr>
      <w:tr w:rsidR="004B5AA9" w:rsidRPr="00E41DAD" w14:paraId="2A89DC92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B531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48BBDE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tipas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5C0DCB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Skaitinė reikšmė</w:t>
            </w:r>
          </w:p>
        </w:tc>
      </w:tr>
      <w:tr w:rsidR="004B5AA9" w:rsidRPr="00E41DAD" w14:paraId="4CED8FC9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8CE2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2C6449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tipas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102878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Rezultato rodiklis</w:t>
            </w:r>
          </w:p>
        </w:tc>
      </w:tr>
      <w:tr w:rsidR="004B5AA9" w:rsidRPr="00E41DAD" w14:paraId="293B7144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E62A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D7B26C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kodas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96E77D" w14:textId="453C0C2C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R-13-00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-08-01-0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-0</w:t>
            </w:r>
            <w:r w:rsidR="00130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4B5AA9" w:rsidRPr="00E41DAD" w14:paraId="34D98126" w14:textId="77777777" w:rsidTr="004B068A">
        <w:trPr>
          <w:trHeight w:val="534"/>
        </w:trPr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02C9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F8C4FD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Europos Komisijos suteiktas stebėsenos rodiklio kodas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AA144C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Netaikoma</w:t>
            </w:r>
          </w:p>
        </w:tc>
      </w:tr>
      <w:tr w:rsidR="004B5AA9" w:rsidRPr="00E41DAD" w14:paraId="5E58E51B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3C6AF8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E06F9C" w14:textId="77777777" w:rsidR="004B5AA9" w:rsidRPr="00E41DAD" w:rsidRDefault="004B5AA9" w:rsidP="00E41D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paaiškinimas, </w:t>
            </w: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sąvokų apibrėžtys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E0FDE9" w14:textId="3919F157" w:rsidR="00885B8E" w:rsidRDefault="00885B8E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</w:t>
            </w:r>
            <w:r w:rsidR="004B5AA9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odikliu vertinama, kokia dalis apygardų teismų turi įrengtus laukiamuosius liudytojams ir (ar) nukentėjusiesiems ir (arba) nepilnamečio liudytojo ir nukentėjusio apklausos kambarius, lyginant su visais apygardų teismais. </w:t>
            </w:r>
          </w:p>
          <w:p w14:paraId="77EB0098" w14:textId="386C7C64" w:rsidR="00602F8C" w:rsidRDefault="00602F8C" w:rsidP="00602F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F49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gardos</w:t>
            </w:r>
            <w:r w:rsidRPr="001F49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teismas –</w:t>
            </w:r>
            <w:r w:rsidR="00763C61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pirmoji instancija, kuri nagrinėja baudžiamąsias ir civilines bylas, įstatymo priskirtas jo kompetencijai, bei apeliacinė instancija apylinkių teismų nuosprendžiams, sprendimams ir nutartims. </w:t>
            </w:r>
            <w:r w:rsidR="00694C30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Apygardų teismų veiklos teritorijos</w:t>
            </w:r>
            <w:r w:rsidRPr="001F49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694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nustatytos </w:t>
            </w:r>
            <w:r w:rsidR="00694C30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1994 m. birželio 15 d. LR įstatym</w:t>
            </w:r>
            <w:r w:rsidR="00694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4C30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I-497 </w:t>
            </w:r>
            <w:r w:rsidR="00694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="00694C30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Dėl Lietuvos Aukščiausiojo Teismo, Lietuvos apeliacinio teismo, apygardų teismų įsteigimo, apygardų teismų veiklos teritorijų nustatymo ir Lietuvos Respublikos prokuratūros reformavimo</w:t>
            </w:r>
            <w:r w:rsidR="00694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“ </w:t>
            </w:r>
            <w:r w:rsidR="00694C30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694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straipsnyje.</w:t>
            </w:r>
          </w:p>
          <w:p w14:paraId="4714A7B9" w14:textId="77777777" w:rsidR="00792594" w:rsidRPr="008160B1" w:rsidRDefault="00792594" w:rsidP="007925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Nepilnamečio liudytojo ir nukentėjusio apklausos kambarys –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vaikų apklausoms pritaikyta patalpa, įrengta vadovaujantis Nepilnamečio liudytojo ir nukentėjusiojo apklausos patalpų įrengimo Lietuvos Respublikos teismuose pagrindinius reikalavimais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E73411D" w14:textId="77777777" w:rsidR="00792594" w:rsidRPr="008160B1" w:rsidRDefault="00792594" w:rsidP="007925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Laukiamasis liudytojams ir (ar) nukentėjusiesiems – atskira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patalpa, skirta asmenims baudžiamajame procese pripažintiems nukentėjusiaisiais ir liudytojais, kuriuos reikia apsaugoti nuo neigiamo kitų proceso dalyvių poveikio, laukti teismo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posėdžio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įrengiama šalia didžiausių baudžiamųjų bylų posėdžių salių.</w:t>
            </w:r>
          </w:p>
          <w:p w14:paraId="2695FEBB" w14:textId="45CEE63B" w:rsidR="00792594" w:rsidRPr="008160B1" w:rsidRDefault="00792594" w:rsidP="007925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Liudytojas –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asmuo, </w:t>
            </w:r>
            <w:r w:rsidRPr="00806A8F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į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statym</w:t>
            </w:r>
            <w:r w:rsidRPr="00806A8F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nustatyta tvarka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12" w:history="1">
              <w:r w:rsidRPr="00806A8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ikiteisminio</w:t>
              </w:r>
              <w:r w:rsidRPr="008160B1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 xml:space="preserve"> t</w:t>
              </w:r>
              <w:r w:rsidRPr="00806A8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yrimo</w:t>
              </w:r>
            </w:hyperlink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pareig</w:t>
            </w:r>
            <w:r w:rsidRPr="00806A8F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ū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no,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13" w:history="1">
              <w:r w:rsidRPr="00806A8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prokuroro</w:t>
              </w:r>
            </w:hyperlink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hyperlink r:id="rId14" w:history="1">
              <w:r w:rsidRPr="00806A8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teismo</w:t>
              </w:r>
            </w:hyperlink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kitos institucijos </w:t>
            </w:r>
            <w:r w:rsidRPr="00806A8F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š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aukiamas pateikti jam </w:t>
            </w:r>
            <w:r w:rsidRPr="00806A8F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inomus byloje nustatytinus faktus ir aplinkybes</w:t>
            </w: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35A15E3" w14:textId="77777777" w:rsidR="00792594" w:rsidRPr="008160B1" w:rsidRDefault="00792594" w:rsidP="007925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6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Nukentėjęs asmuo –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asmuo, kuriam </w:t>
            </w:r>
            <w:hyperlink r:id="rId15" w:history="1">
              <w:r w:rsidRPr="00806A8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t-LT"/>
                  <w14:ligatures w14:val="none"/>
                </w:rPr>
                <w:t>nusikaltimo</w:t>
              </w:r>
            </w:hyperlink>
            <w:r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metu padaryta fizinė, turtinė ar moralinė žala.</w:t>
            </w:r>
          </w:p>
          <w:p w14:paraId="54265A09" w14:textId="334C728B" w:rsidR="00602F8C" w:rsidRPr="00E41DAD" w:rsidRDefault="00792594" w:rsidP="007925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Saugios sąlygos – </w:t>
            </w:r>
            <w:r w:rsidR="00D916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šiame kontekste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suprantamos kaip aplinka, kurioje asmenys</w:t>
            </w:r>
            <w:r w:rsidR="006B3F5F"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362F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baudžiamajame procese pripažinti nukentėjusiaisiais ir liudytojais, laukiantys teismo posėdžio, būtų apsaugoti nuo galimo neigiamo kitų proceso dalyvių poveikio.</w:t>
            </w:r>
          </w:p>
        </w:tc>
      </w:tr>
      <w:tr w:rsidR="004B5AA9" w:rsidRPr="00E41DAD" w14:paraId="3C959E8F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5A34D9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9.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AA1BDD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Stebėsenos rodiklio reikšmės apskaičiavimo tipas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FB9526" w14:textId="16D31378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Įvedamasis </w:t>
            </w:r>
          </w:p>
        </w:tc>
      </w:tr>
      <w:tr w:rsidR="004B5AA9" w:rsidRPr="00E41DAD" w14:paraId="227B447A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09FED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3427FA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 </w:t>
            </w:r>
            <w:r w:rsidRPr="00E41D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reikšmės 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apskaičiavimo metodas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E9CB5" w14:textId="24DCDF53" w:rsidR="004B5AA9" w:rsidRPr="00E41DAD" w:rsidRDefault="004B5AA9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Vertinamas apygardų teismų</w:t>
            </w:r>
            <w:r w:rsidR="001C795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skaičius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kuriuose yra įrengti laukiamieji liudytojams ir (ar) nukentėjusiesiems ir (arba) nepilnamečio liudytojo ir nukentėjusio apklausos kambariai, ir bendras apygardų teismų skaiči</w:t>
            </w:r>
            <w:r w:rsidR="001C795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 procentinis santykis.</w:t>
            </w:r>
          </w:p>
          <w:p w14:paraId="4FFE7B08" w14:textId="01A359E6" w:rsidR="004B5AA9" w:rsidRPr="00E41DAD" w:rsidRDefault="004B5AA9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SSAp</w:t>
            </w:r>
            <w:r w:rsidR="001C795A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yg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= ∑T </w:t>
            </w:r>
            <w:proofErr w:type="spellStart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</w:t>
            </w:r>
            <w:r w:rsidR="001C795A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yg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LK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/ ∑</w:t>
            </w:r>
            <w:proofErr w:type="spellStart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</w:t>
            </w:r>
            <w:r w:rsidR="001C795A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y</w:t>
            </w:r>
            <w:r w:rsidR="00973999"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g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x 100</w:t>
            </w:r>
          </w:p>
          <w:p w14:paraId="070AB577" w14:textId="77777777" w:rsidR="00A03476" w:rsidRPr="00E41DAD" w:rsidRDefault="00A03476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Kur: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C2D358" w14:textId="3B3B92D7" w:rsidR="004B5AA9" w:rsidRPr="00E41DAD" w:rsidRDefault="004B5AA9" w:rsidP="004B068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SSAp</w:t>
            </w:r>
            <w:r w:rsidR="001C795A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yg</w:t>
            </w:r>
            <w:proofErr w:type="spellEnd"/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</w:t>
            </w:r>
            <w:r w:rsidR="001C795A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41DAD">
              <w:rPr>
                <w:rFonts w:ascii="Times New Roman" w:hAnsi="Times New Roman" w:cs="Times New Roman"/>
                <w:iCs/>
                <w:sz w:val="24"/>
                <w:szCs w:val="24"/>
              </w:rPr>
              <w:t>teismų, kuriuose liudytojams ir nukentėjusiems asmenims užtikrintos saugios sąlygos, dalis (</w:t>
            </w:r>
            <w:r w:rsidR="001C795A" w:rsidRPr="00E41DAD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1C795A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pygardų</w:t>
            </w:r>
            <w:r w:rsidRPr="00E41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teismai), procentais</w:t>
            </w:r>
            <w:r w:rsidR="00015C7F" w:rsidRPr="00E41DA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2FCC462" w14:textId="77777777" w:rsidR="00644ACE" w:rsidRPr="00E41DAD" w:rsidRDefault="00644ACE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 </w:t>
            </w: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ApygLK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</w:t>
            </w:r>
            <w:r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apygardų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teismai, kuriuose yra įrengti laukiamieji liudytojams ir (ar) nukentėjusiesiems ir (arba) nepilnamečio liudytojo ir nukentėjusio apklausos kambariai.</w:t>
            </w:r>
          </w:p>
          <w:p w14:paraId="02C99884" w14:textId="6FB2EAE0" w:rsidR="00644ACE" w:rsidRPr="00E41DAD" w:rsidRDefault="00644ACE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Jei apygardos teisme nėra įrengto laukiamojo liudytojams ir (ar) nukentėjusiesiems ir 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nėra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nepilnamečio liudytojo ir nukentėjusio apklausos kambario, reikšmė bus – 0, jei yra įrengtas tik laukiamasis liudytojams ir (ar) nukentėjusiesiems arba 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tik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nepilnamečio liudytojo ir nukentėjusio apklausos kambarys, reikšmė bus </w:t>
            </w:r>
            <w:r w:rsidR="003B3D65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–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0,5, o jei yra įrengtas laukiamasis liudytojams ir (ar) nukentėjusiesiems ir nepilnamečio liudytojo ir nukentėjusio apklausos kambarys, reikšmė 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bus </w:t>
            </w:r>
            <w:r w:rsidR="003B3D65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1.</w:t>
            </w:r>
          </w:p>
          <w:p w14:paraId="7D32D751" w14:textId="2CB36986" w:rsidR="001C795A" w:rsidRPr="00E41DAD" w:rsidRDefault="00171A31" w:rsidP="004B068A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Apyg</w:t>
            </w:r>
            <w:proofErr w:type="spellEnd"/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A69B1" w:rsidRPr="00E41DAD">
              <w:rPr>
                <w:rFonts w:ascii="Times New Roman" w:hAnsi="Times New Roman" w:cs="Times New Roman"/>
                <w:szCs w:val="24"/>
                <w:lang w:eastAsia="lt-LT"/>
              </w:rPr>
              <w:t xml:space="preserve">– </w:t>
            </w:r>
            <w:r w:rsidR="00DA69B1" w:rsidRPr="00E41DA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apygardų</w:t>
            </w:r>
            <w:r w:rsidR="00DA69B1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teismų skaičius.</w:t>
            </w:r>
          </w:p>
        </w:tc>
      </w:tr>
      <w:tr w:rsidR="004B5AA9" w:rsidRPr="00E41DAD" w14:paraId="22132620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EAE25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11.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6BB9A0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duomenų šaltiniai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BD1673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Nacionalinės teismų administracijos duomenys</w:t>
            </w:r>
          </w:p>
        </w:tc>
      </w:tr>
      <w:tr w:rsidR="004B5AA9" w:rsidRPr="00E41DAD" w14:paraId="16BBB0D6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AA6620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1CC4EC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reikšmės skaičiavimo periodiškumas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BB6FC5" w14:textId="677ACB7C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808080"/>
                <w:sz w:val="24"/>
                <w:szCs w:val="24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Reikšmės vertinamos įgyvendinus veiklas, vieną kartą per metus už praėjusius kalendorinius metus. 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skaičiavimo data – iki stebėsenos rodiklių ataskaitos teikimo metų vasario mėn. 15 d</w:t>
            </w:r>
            <w:r w:rsidR="00D743C8" w:rsidRPr="00E41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AA9" w:rsidRPr="00E41DAD" w14:paraId="7A71023F" w14:textId="77777777" w:rsidTr="004B068A">
        <w:trPr>
          <w:trHeight w:val="539"/>
        </w:trPr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BB42B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BBB8D3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rodiklio pasiekimo momentas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AE6360" w14:textId="549FD55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Stebėsenos rodiklis laikomas pasiektu projekto veiklų įgyvendinimo pabaigoje</w:t>
            </w:r>
            <w:r w:rsidR="0076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atlikus suplanuotus darbus ir pasirašius a</w:t>
            </w:r>
            <w:r w:rsidR="00763C61" w:rsidRPr="00806A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tliktų darbų akt</w:t>
            </w:r>
            <w:r w:rsidR="00763C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</w:t>
            </w:r>
            <w:r w:rsidR="00015C7F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A2722DA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B5AA9" w:rsidRPr="00E41DAD" w14:paraId="69226B79" w14:textId="77777777" w:rsidTr="004B068A">
        <w:trPr>
          <w:trHeight w:val="240"/>
        </w:trPr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03128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AB88D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 stebėsenos rodiklį atsakinga įstaiga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26DE14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Nacionalinė teismų administracija</w:t>
            </w:r>
          </w:p>
        </w:tc>
      </w:tr>
      <w:tr w:rsidR="004B5AA9" w:rsidRPr="00E41DAD" w14:paraId="2E54FB97" w14:textId="77777777" w:rsidTr="004B068A">
        <w:trPr>
          <w:trHeight w:val="256"/>
        </w:trPr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1E25D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D5E8B8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Įstaigos padalinys ir kontaktinis telefono numeris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E58611" w14:textId="1BDABBEF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Technologijų ir išteklių valdymo departamento Turto valdymo skyrius, tel. +370 610 67227</w:t>
            </w:r>
          </w:p>
        </w:tc>
      </w:tr>
      <w:tr w:rsidR="004B5AA9" w:rsidRPr="00E41DAD" w14:paraId="2084FFAC" w14:textId="77777777" w:rsidTr="004B068A">
        <w:tc>
          <w:tcPr>
            <w:tcW w:w="255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A7C5D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4994A" w14:textId="77777777" w:rsidR="004B5AA9" w:rsidRPr="00E41DAD" w:rsidRDefault="004B5AA9" w:rsidP="00806D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16.</w:t>
            </w:r>
          </w:p>
        </w:tc>
        <w:tc>
          <w:tcPr>
            <w:tcW w:w="2098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B95FA9" w14:textId="77777777" w:rsidR="004B5AA9" w:rsidRPr="00E41DAD" w:rsidRDefault="004B5AA9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 svarbi informacija</w:t>
            </w:r>
          </w:p>
        </w:tc>
        <w:tc>
          <w:tcPr>
            <w:tcW w:w="2647" w:type="pct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79D94" w14:textId="5436D2B2" w:rsidR="004B5AA9" w:rsidRPr="00E41DAD" w:rsidRDefault="003B3D65" w:rsidP="004B06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Stebėsenos rodiklio reikšmei įtaką gali daryti vykdomos teismų </w:t>
            </w:r>
            <w:r w:rsidR="00D743C8"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sistemos </w:t>
            </w:r>
            <w:r w:rsidRPr="00E41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reformos.</w:t>
            </w:r>
          </w:p>
        </w:tc>
      </w:tr>
    </w:tbl>
    <w:p w14:paraId="29513936" w14:textId="77777777" w:rsidR="004B5AA9" w:rsidRPr="00E41DAD" w:rsidRDefault="004B5AA9" w:rsidP="00806DF1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E41D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99928B3" w14:textId="77777777" w:rsidR="00FA2AE8" w:rsidRDefault="00E41DAD" w:rsidP="00FA2AE8">
      <w:pPr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 w:rsidR="00FA2AE8" w:rsidRPr="00206A4A">
        <w:t>_________________________</w:t>
      </w:r>
    </w:p>
    <w:p w14:paraId="2C0C8A49" w14:textId="33BB3AB6" w:rsidR="00C11FF0" w:rsidRDefault="00FA2AE8" w:rsidP="00FA2AE8">
      <w:pPr>
        <w:tabs>
          <w:tab w:val="left" w:pos="3615"/>
          <w:tab w:val="left" w:pos="55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703DF6" w14:textId="7B42CF75" w:rsidR="00D51C36" w:rsidRPr="00130EE2" w:rsidRDefault="00D51C36" w:rsidP="00C11FF0">
      <w:pPr>
        <w:rPr>
          <w:rFonts w:ascii="Times New Roman" w:hAnsi="Times New Roman" w:cs="Times New Roman"/>
          <w:sz w:val="24"/>
          <w:szCs w:val="24"/>
        </w:rPr>
      </w:pPr>
    </w:p>
    <w:sectPr w:rsidR="00D51C36" w:rsidRPr="00130EE2" w:rsidSect="009B61DB">
      <w:headerReference w:type="defaul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5BB6" w14:textId="77777777" w:rsidR="009642DF" w:rsidRDefault="009642DF" w:rsidP="00C61C0A">
      <w:pPr>
        <w:spacing w:after="0" w:line="240" w:lineRule="auto"/>
      </w:pPr>
      <w:r>
        <w:separator/>
      </w:r>
    </w:p>
  </w:endnote>
  <w:endnote w:type="continuationSeparator" w:id="0">
    <w:p w14:paraId="1EA155A1" w14:textId="77777777" w:rsidR="009642DF" w:rsidRDefault="009642DF" w:rsidP="00C6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32D7" w14:textId="77777777" w:rsidR="009642DF" w:rsidRDefault="009642DF" w:rsidP="00C61C0A">
      <w:pPr>
        <w:spacing w:after="0" w:line="240" w:lineRule="auto"/>
      </w:pPr>
      <w:r>
        <w:separator/>
      </w:r>
    </w:p>
  </w:footnote>
  <w:footnote w:type="continuationSeparator" w:id="0">
    <w:p w14:paraId="17286A9C" w14:textId="77777777" w:rsidR="009642DF" w:rsidRDefault="009642DF" w:rsidP="00C6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17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5E3B44" w14:textId="6BBF4B6C" w:rsidR="00C61C0A" w:rsidRDefault="00C61C0A">
        <w:pPr>
          <w:pStyle w:val="Antrats"/>
          <w:jc w:val="center"/>
        </w:pPr>
        <w:r w:rsidRPr="00E41DAD">
          <w:rPr>
            <w:rFonts w:ascii="Times New Roman" w:hAnsi="Times New Roman" w:cs="Times New Roman"/>
          </w:rPr>
          <w:fldChar w:fldCharType="begin"/>
        </w:r>
        <w:r w:rsidRPr="00E41DAD">
          <w:rPr>
            <w:rFonts w:ascii="Times New Roman" w:hAnsi="Times New Roman" w:cs="Times New Roman"/>
          </w:rPr>
          <w:instrText>PAGE   \* MERGEFORMAT</w:instrText>
        </w:r>
        <w:r w:rsidRPr="00E41DAD">
          <w:rPr>
            <w:rFonts w:ascii="Times New Roman" w:hAnsi="Times New Roman" w:cs="Times New Roman"/>
          </w:rPr>
          <w:fldChar w:fldCharType="separate"/>
        </w:r>
        <w:r w:rsidRPr="00E41DAD">
          <w:rPr>
            <w:rFonts w:ascii="Times New Roman" w:hAnsi="Times New Roman" w:cs="Times New Roman"/>
          </w:rPr>
          <w:t>2</w:t>
        </w:r>
        <w:r w:rsidRPr="00E41DA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BCC"/>
    <w:multiLevelType w:val="hybridMultilevel"/>
    <w:tmpl w:val="34BA1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6C57"/>
    <w:multiLevelType w:val="hybridMultilevel"/>
    <w:tmpl w:val="10F6ED4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015A0D"/>
    <w:multiLevelType w:val="hybridMultilevel"/>
    <w:tmpl w:val="BD76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4061">
    <w:abstractNumId w:val="1"/>
  </w:num>
  <w:num w:numId="2" w16cid:durableId="1990208714">
    <w:abstractNumId w:val="2"/>
  </w:num>
  <w:num w:numId="3" w16cid:durableId="8478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01A5D"/>
    <w:rsid w:val="00004940"/>
    <w:rsid w:val="00006EF9"/>
    <w:rsid w:val="00015C7F"/>
    <w:rsid w:val="00031C9E"/>
    <w:rsid w:val="0005769E"/>
    <w:rsid w:val="000711AC"/>
    <w:rsid w:val="00073625"/>
    <w:rsid w:val="00083AC0"/>
    <w:rsid w:val="00091A25"/>
    <w:rsid w:val="000B1AC1"/>
    <w:rsid w:val="000E20A0"/>
    <w:rsid w:val="001125D8"/>
    <w:rsid w:val="00115B2F"/>
    <w:rsid w:val="00130EE2"/>
    <w:rsid w:val="00154415"/>
    <w:rsid w:val="00171A31"/>
    <w:rsid w:val="00171AD4"/>
    <w:rsid w:val="0018526C"/>
    <w:rsid w:val="001A02AB"/>
    <w:rsid w:val="001A119C"/>
    <w:rsid w:val="001A30DD"/>
    <w:rsid w:val="001B5B3F"/>
    <w:rsid w:val="001C524E"/>
    <w:rsid w:val="001C795A"/>
    <w:rsid w:val="001D72D3"/>
    <w:rsid w:val="002D4F3C"/>
    <w:rsid w:val="002E3A9D"/>
    <w:rsid w:val="002F02D5"/>
    <w:rsid w:val="00321F6E"/>
    <w:rsid w:val="00331655"/>
    <w:rsid w:val="00362F82"/>
    <w:rsid w:val="0036600A"/>
    <w:rsid w:val="00374517"/>
    <w:rsid w:val="00376FD0"/>
    <w:rsid w:val="003928C3"/>
    <w:rsid w:val="003B3D65"/>
    <w:rsid w:val="003C0846"/>
    <w:rsid w:val="003C7B49"/>
    <w:rsid w:val="004009E4"/>
    <w:rsid w:val="00401DF6"/>
    <w:rsid w:val="00410852"/>
    <w:rsid w:val="004520DA"/>
    <w:rsid w:val="00455206"/>
    <w:rsid w:val="00463F21"/>
    <w:rsid w:val="00485583"/>
    <w:rsid w:val="004A2243"/>
    <w:rsid w:val="004B068A"/>
    <w:rsid w:val="004B5AA9"/>
    <w:rsid w:val="004C07C9"/>
    <w:rsid w:val="004C4E69"/>
    <w:rsid w:val="004E4D45"/>
    <w:rsid w:val="004E5C91"/>
    <w:rsid w:val="00530478"/>
    <w:rsid w:val="005410B8"/>
    <w:rsid w:val="00555784"/>
    <w:rsid w:val="005975A8"/>
    <w:rsid w:val="005B18F0"/>
    <w:rsid w:val="005C1E10"/>
    <w:rsid w:val="005E3FFF"/>
    <w:rsid w:val="005F2F40"/>
    <w:rsid w:val="00600AB7"/>
    <w:rsid w:val="00602F8C"/>
    <w:rsid w:val="00605A62"/>
    <w:rsid w:val="00644ACE"/>
    <w:rsid w:val="006722F4"/>
    <w:rsid w:val="00675F34"/>
    <w:rsid w:val="00680780"/>
    <w:rsid w:val="00681E3E"/>
    <w:rsid w:val="00694C30"/>
    <w:rsid w:val="006A5E4F"/>
    <w:rsid w:val="006A70D7"/>
    <w:rsid w:val="006B3F5F"/>
    <w:rsid w:val="006B7F83"/>
    <w:rsid w:val="006E77BB"/>
    <w:rsid w:val="00727119"/>
    <w:rsid w:val="00755840"/>
    <w:rsid w:val="00763C61"/>
    <w:rsid w:val="0078071B"/>
    <w:rsid w:val="0078092A"/>
    <w:rsid w:val="00792594"/>
    <w:rsid w:val="007D2158"/>
    <w:rsid w:val="007E65DA"/>
    <w:rsid w:val="007F7EB2"/>
    <w:rsid w:val="008008D6"/>
    <w:rsid w:val="00806DF1"/>
    <w:rsid w:val="008160B1"/>
    <w:rsid w:val="008420F2"/>
    <w:rsid w:val="0085065A"/>
    <w:rsid w:val="00885B8E"/>
    <w:rsid w:val="008C167D"/>
    <w:rsid w:val="008C5340"/>
    <w:rsid w:val="008C7BD2"/>
    <w:rsid w:val="00922718"/>
    <w:rsid w:val="009518BA"/>
    <w:rsid w:val="00953400"/>
    <w:rsid w:val="009642DF"/>
    <w:rsid w:val="00973999"/>
    <w:rsid w:val="00980863"/>
    <w:rsid w:val="00991B57"/>
    <w:rsid w:val="009B61DB"/>
    <w:rsid w:val="009C662B"/>
    <w:rsid w:val="00A02729"/>
    <w:rsid w:val="00A03476"/>
    <w:rsid w:val="00A05D2F"/>
    <w:rsid w:val="00A2298F"/>
    <w:rsid w:val="00A27A14"/>
    <w:rsid w:val="00A448B3"/>
    <w:rsid w:val="00A45237"/>
    <w:rsid w:val="00A54BA7"/>
    <w:rsid w:val="00A61B92"/>
    <w:rsid w:val="00A64EDA"/>
    <w:rsid w:val="00A90598"/>
    <w:rsid w:val="00A930CC"/>
    <w:rsid w:val="00A96F19"/>
    <w:rsid w:val="00AC3030"/>
    <w:rsid w:val="00AF337C"/>
    <w:rsid w:val="00AF5D34"/>
    <w:rsid w:val="00B97762"/>
    <w:rsid w:val="00BC3793"/>
    <w:rsid w:val="00BC47C6"/>
    <w:rsid w:val="00BC7C6F"/>
    <w:rsid w:val="00BD2365"/>
    <w:rsid w:val="00BE0B7C"/>
    <w:rsid w:val="00BE5D62"/>
    <w:rsid w:val="00BF45E1"/>
    <w:rsid w:val="00C11FF0"/>
    <w:rsid w:val="00C52261"/>
    <w:rsid w:val="00C61C0A"/>
    <w:rsid w:val="00C646DF"/>
    <w:rsid w:val="00CA355E"/>
    <w:rsid w:val="00CA4E1A"/>
    <w:rsid w:val="00CA5582"/>
    <w:rsid w:val="00CB3732"/>
    <w:rsid w:val="00CD2F1D"/>
    <w:rsid w:val="00D0769C"/>
    <w:rsid w:val="00D13C62"/>
    <w:rsid w:val="00D15463"/>
    <w:rsid w:val="00D40ACB"/>
    <w:rsid w:val="00D51C36"/>
    <w:rsid w:val="00D64729"/>
    <w:rsid w:val="00D743C8"/>
    <w:rsid w:val="00D80AC0"/>
    <w:rsid w:val="00D8481B"/>
    <w:rsid w:val="00D916F6"/>
    <w:rsid w:val="00DA69B1"/>
    <w:rsid w:val="00DB005A"/>
    <w:rsid w:val="00DB1BB7"/>
    <w:rsid w:val="00DD51E6"/>
    <w:rsid w:val="00DF3DB8"/>
    <w:rsid w:val="00E121B6"/>
    <w:rsid w:val="00E13773"/>
    <w:rsid w:val="00E21571"/>
    <w:rsid w:val="00E40FAA"/>
    <w:rsid w:val="00E41DAD"/>
    <w:rsid w:val="00E67264"/>
    <w:rsid w:val="00E72DAC"/>
    <w:rsid w:val="00E91CDC"/>
    <w:rsid w:val="00EA65A7"/>
    <w:rsid w:val="00EC129D"/>
    <w:rsid w:val="00ED4637"/>
    <w:rsid w:val="00EE3E10"/>
    <w:rsid w:val="00EF3B6E"/>
    <w:rsid w:val="00F30C29"/>
    <w:rsid w:val="00F47598"/>
    <w:rsid w:val="00F61A8C"/>
    <w:rsid w:val="00F6398C"/>
    <w:rsid w:val="00F9203D"/>
    <w:rsid w:val="00FA2AE8"/>
    <w:rsid w:val="00FB2FD0"/>
    <w:rsid w:val="00FB32A0"/>
    <w:rsid w:val="00FB72C8"/>
    <w:rsid w:val="00FD6C10"/>
    <w:rsid w:val="00FD72ED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F03B"/>
  <w15:chartTrackingRefBased/>
  <w15:docId w15:val="{5AF9ECCF-4CDC-4201-8AB6-D770634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2D4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99"/>
    <w:qFormat/>
    <w:rsid w:val="00E21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E2157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4F3C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6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1C0A"/>
  </w:style>
  <w:style w:type="paragraph" w:styleId="Porat">
    <w:name w:val="footer"/>
    <w:basedOn w:val="prastasis"/>
    <w:link w:val="PoratDiagrama"/>
    <w:uiPriority w:val="99"/>
    <w:unhideWhenUsed/>
    <w:rsid w:val="00C6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1C0A"/>
  </w:style>
  <w:style w:type="paragraph" w:styleId="Pataisymai">
    <w:name w:val="Revision"/>
    <w:hidden/>
    <w:uiPriority w:val="99"/>
    <w:semiHidden/>
    <w:rsid w:val="00EF3B6E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F3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3B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3B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B6E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031C9E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D64729"/>
    <w:rPr>
      <w:color w:val="0000FF"/>
      <w:u w:val="single"/>
    </w:rPr>
  </w:style>
  <w:style w:type="character" w:customStyle="1" w:styleId="apibr">
    <w:name w:val="apibr"/>
    <w:basedOn w:val="Numatytasispastraiposriftas"/>
    <w:rsid w:val="0085065A"/>
  </w:style>
  <w:style w:type="character" w:styleId="Vietosrezervavimoenklotekstas">
    <w:name w:val="Placeholder Text"/>
    <w:basedOn w:val="Numatytasispastraiposriftas"/>
    <w:uiPriority w:val="99"/>
    <w:semiHidden/>
    <w:rsid w:val="008C7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e.lt/31636" TargetMode="External"/><Relationship Id="rId13" Type="http://schemas.openxmlformats.org/officeDocument/2006/relationships/hyperlink" Target="https://www.vle.lt/straipsnis/prokurora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le.lt/31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e.lt/straipsnis/nusikaltim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le.lt/straipsnis/nusikaltimas/" TargetMode="External"/><Relationship Id="rId10" Type="http://schemas.openxmlformats.org/officeDocument/2006/relationships/hyperlink" Target="https://www.vle.lt/94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le.lt/straipsnis/prokuroras/" TargetMode="External"/><Relationship Id="rId14" Type="http://schemas.openxmlformats.org/officeDocument/2006/relationships/hyperlink" Target="https://www.vle.lt/94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A1FA-EA46-48C5-A894-D6279B34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15437</Words>
  <Characters>8800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Jurgita Savickienė</cp:lastModifiedBy>
  <cp:revision>6</cp:revision>
  <dcterms:created xsi:type="dcterms:W3CDTF">2024-12-09T08:08:00Z</dcterms:created>
  <dcterms:modified xsi:type="dcterms:W3CDTF">2025-01-29T09:01:00Z</dcterms:modified>
</cp:coreProperties>
</file>